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140B4">
      <w:pPr>
        <w:snapToGrid w:val="0"/>
        <w:spacing w:line="360" w:lineRule="auto"/>
        <w:jc w:val="center"/>
        <w:rPr>
          <w:rFonts w:ascii="黑体" w:hAnsi="宋体" w:eastAsia="黑体" w:cs="Times New Roman"/>
          <w:bCs/>
          <w:sz w:val="32"/>
          <w:szCs w:val="36"/>
        </w:rPr>
      </w:pPr>
      <w:r>
        <w:rPr>
          <w:rFonts w:hint="eastAsia" w:ascii="黑体" w:hAnsi="宋体" w:eastAsia="黑体" w:cs="Times New Roman"/>
          <w:bCs/>
          <w:sz w:val="32"/>
          <w:szCs w:val="36"/>
          <w:lang w:val="en-US" w:eastAsia="zh-CN"/>
        </w:rPr>
        <w:t>标准</w:t>
      </w:r>
      <w:r>
        <w:rPr>
          <w:rFonts w:hint="eastAsia" w:ascii="黑体" w:hAnsi="宋体" w:eastAsia="黑体" w:cs="Times New Roman"/>
          <w:bCs/>
          <w:sz w:val="32"/>
          <w:szCs w:val="36"/>
        </w:rPr>
        <w:t>编制说明</w:t>
      </w:r>
    </w:p>
    <w:p w14:paraId="2A72EA67">
      <w:pPr>
        <w:pStyle w:val="34"/>
        <w:jc w:val="center"/>
        <w:rPr>
          <w:color w:val="auto"/>
        </w:rPr>
      </w:pPr>
      <w:r>
        <w:rPr>
          <w:color w:val="auto"/>
          <w:lang w:val="zh-CN"/>
        </w:rPr>
        <w:t>目录</w:t>
      </w:r>
    </w:p>
    <w:p w14:paraId="69C2792D">
      <w:pPr>
        <w:pStyle w:val="12"/>
        <w:tabs>
          <w:tab w:val="right" w:leader="dot" w:pos="8296"/>
        </w:tabs>
      </w:pPr>
      <w:r>
        <w:fldChar w:fldCharType="begin"/>
      </w:r>
      <w:r>
        <w:instrText xml:space="preserve"> TOC \o "1-3" \h \z \u </w:instrText>
      </w:r>
      <w:r>
        <w:fldChar w:fldCharType="separate"/>
      </w:r>
      <w:r>
        <w:rPr>
          <w:rStyle w:val="23"/>
        </w:rPr>
        <w:fldChar w:fldCharType="begin"/>
      </w:r>
      <w:r>
        <w:rPr>
          <w:rStyle w:val="23"/>
        </w:rPr>
        <w:instrText xml:space="preserve"> </w:instrText>
      </w:r>
      <w:r>
        <w:instrText xml:space="preserve">HYPERLINK \l "_Toc192169704"</w:instrText>
      </w:r>
      <w:r>
        <w:rPr>
          <w:rStyle w:val="23"/>
        </w:rPr>
        <w:instrText xml:space="preserve"> </w:instrText>
      </w:r>
      <w:r>
        <w:rPr>
          <w:rStyle w:val="23"/>
        </w:rPr>
        <w:fldChar w:fldCharType="separate"/>
      </w:r>
      <w:r>
        <w:rPr>
          <w:rStyle w:val="23"/>
          <w:rFonts w:hint="eastAsia"/>
        </w:rPr>
        <w:t>一、标准编制工作简况</w:t>
      </w:r>
      <w:r>
        <w:tab/>
      </w:r>
      <w:r>
        <w:fldChar w:fldCharType="begin"/>
      </w:r>
      <w:r>
        <w:instrText xml:space="preserve"> PAGEREF _Toc192169704 \h </w:instrText>
      </w:r>
      <w:r>
        <w:fldChar w:fldCharType="separate"/>
      </w:r>
      <w:r>
        <w:t>2</w:t>
      </w:r>
      <w:r>
        <w:fldChar w:fldCharType="end"/>
      </w:r>
      <w:r>
        <w:rPr>
          <w:rStyle w:val="23"/>
        </w:rPr>
        <w:fldChar w:fldCharType="end"/>
      </w:r>
    </w:p>
    <w:p w14:paraId="464BA4C3">
      <w:pPr>
        <w:pStyle w:val="12"/>
        <w:tabs>
          <w:tab w:val="right" w:leader="dot" w:pos="8296"/>
        </w:tabs>
      </w:pPr>
      <w:r>
        <w:rPr>
          <w:rStyle w:val="23"/>
        </w:rPr>
        <w:fldChar w:fldCharType="begin"/>
      </w:r>
      <w:r>
        <w:rPr>
          <w:rStyle w:val="23"/>
        </w:rPr>
        <w:instrText xml:space="preserve"> </w:instrText>
      </w:r>
      <w:r>
        <w:instrText xml:space="preserve">HYPERLINK \l "_Toc192169705"</w:instrText>
      </w:r>
      <w:r>
        <w:rPr>
          <w:rStyle w:val="23"/>
        </w:rPr>
        <w:instrText xml:space="preserve"> </w:instrText>
      </w:r>
      <w:r>
        <w:rPr>
          <w:rStyle w:val="23"/>
        </w:rPr>
        <w:fldChar w:fldCharType="separate"/>
      </w:r>
      <w:r>
        <w:rPr>
          <w:rStyle w:val="23"/>
          <w:rFonts w:hint="eastAsia"/>
        </w:rPr>
        <w:t>二、标准立项的必要性</w:t>
      </w:r>
      <w:r>
        <w:tab/>
      </w:r>
      <w:r>
        <w:rPr>
          <w:rFonts w:hint="eastAsia"/>
          <w:lang w:val="en-US" w:eastAsia="zh-CN"/>
        </w:rPr>
        <w:t>4</w:t>
      </w:r>
      <w:r>
        <w:rPr>
          <w:rStyle w:val="23"/>
        </w:rPr>
        <w:fldChar w:fldCharType="end"/>
      </w:r>
    </w:p>
    <w:p w14:paraId="002EC1AC">
      <w:pPr>
        <w:pStyle w:val="12"/>
        <w:tabs>
          <w:tab w:val="right" w:leader="dot" w:pos="8296"/>
        </w:tabs>
      </w:pPr>
      <w:r>
        <w:rPr>
          <w:rStyle w:val="23"/>
        </w:rPr>
        <w:fldChar w:fldCharType="begin"/>
      </w:r>
      <w:r>
        <w:rPr>
          <w:rStyle w:val="23"/>
        </w:rPr>
        <w:instrText xml:space="preserve"> </w:instrText>
      </w:r>
      <w:r>
        <w:instrText xml:space="preserve">HYPERLINK \l "_Toc192169706"</w:instrText>
      </w:r>
      <w:r>
        <w:rPr>
          <w:rStyle w:val="23"/>
        </w:rPr>
        <w:instrText xml:space="preserve"> </w:instrText>
      </w:r>
      <w:r>
        <w:rPr>
          <w:rStyle w:val="23"/>
        </w:rPr>
        <w:fldChar w:fldCharType="separate"/>
      </w:r>
      <w:r>
        <w:rPr>
          <w:rStyle w:val="23"/>
          <w:rFonts w:hint="eastAsia"/>
        </w:rPr>
        <w:t>三、标准编制原则、主要内容及其确定依据</w:t>
      </w:r>
      <w:r>
        <w:tab/>
      </w:r>
      <w:r>
        <w:rPr>
          <w:rFonts w:hint="eastAsia"/>
          <w:lang w:val="en-US" w:eastAsia="zh-CN"/>
        </w:rPr>
        <w:t>5</w:t>
      </w:r>
      <w:r>
        <w:rPr>
          <w:rStyle w:val="23"/>
        </w:rPr>
        <w:fldChar w:fldCharType="end"/>
      </w:r>
    </w:p>
    <w:p w14:paraId="1D24050B">
      <w:pPr>
        <w:pStyle w:val="16"/>
        <w:tabs>
          <w:tab w:val="right" w:leader="dot" w:pos="8296"/>
        </w:tabs>
      </w:pPr>
      <w:r>
        <w:rPr>
          <w:rStyle w:val="23"/>
        </w:rPr>
        <w:fldChar w:fldCharType="begin"/>
      </w:r>
      <w:r>
        <w:rPr>
          <w:rStyle w:val="23"/>
        </w:rPr>
        <w:instrText xml:space="preserve"> </w:instrText>
      </w:r>
      <w:r>
        <w:instrText xml:space="preserve">HYPERLINK \l "_Toc192169707"</w:instrText>
      </w:r>
      <w:r>
        <w:rPr>
          <w:rStyle w:val="23"/>
        </w:rPr>
        <w:instrText xml:space="preserve"> </w:instrText>
      </w:r>
      <w:r>
        <w:rPr>
          <w:rStyle w:val="23"/>
        </w:rPr>
        <w:fldChar w:fldCharType="separate"/>
      </w:r>
      <w:r>
        <w:rPr>
          <w:rStyle w:val="23"/>
          <w:rFonts w:hint="eastAsia"/>
        </w:rPr>
        <w:t>（一）标准编制原则</w:t>
      </w:r>
      <w:r>
        <w:tab/>
      </w:r>
      <w:r>
        <w:rPr>
          <w:rFonts w:hint="eastAsia"/>
          <w:lang w:val="en-US" w:eastAsia="zh-CN"/>
        </w:rPr>
        <w:t>5</w:t>
      </w:r>
      <w:r>
        <w:rPr>
          <w:rStyle w:val="23"/>
        </w:rPr>
        <w:fldChar w:fldCharType="end"/>
      </w:r>
    </w:p>
    <w:p w14:paraId="244246FB">
      <w:pPr>
        <w:pStyle w:val="16"/>
        <w:tabs>
          <w:tab w:val="right" w:leader="dot" w:pos="8296"/>
        </w:tabs>
      </w:pPr>
      <w:r>
        <w:rPr>
          <w:rStyle w:val="23"/>
        </w:rPr>
        <w:fldChar w:fldCharType="begin"/>
      </w:r>
      <w:r>
        <w:rPr>
          <w:rStyle w:val="23"/>
        </w:rPr>
        <w:instrText xml:space="preserve"> </w:instrText>
      </w:r>
      <w:r>
        <w:instrText xml:space="preserve">HYPERLINK \l "_Toc192169708"</w:instrText>
      </w:r>
      <w:r>
        <w:rPr>
          <w:rStyle w:val="23"/>
        </w:rPr>
        <w:instrText xml:space="preserve"> </w:instrText>
      </w:r>
      <w:r>
        <w:rPr>
          <w:rStyle w:val="23"/>
        </w:rPr>
        <w:fldChar w:fldCharType="separate"/>
      </w:r>
      <w:r>
        <w:rPr>
          <w:rStyle w:val="23"/>
          <w:rFonts w:hint="eastAsia"/>
        </w:rPr>
        <w:t>（二）主要内容</w:t>
      </w:r>
      <w:r>
        <w:tab/>
      </w:r>
      <w:r>
        <w:rPr>
          <w:rFonts w:hint="eastAsia"/>
          <w:lang w:val="en-US" w:eastAsia="zh-CN"/>
        </w:rPr>
        <w:t>6</w:t>
      </w:r>
      <w:r>
        <w:rPr>
          <w:rStyle w:val="23"/>
        </w:rPr>
        <w:fldChar w:fldCharType="end"/>
      </w:r>
    </w:p>
    <w:p w14:paraId="6B10B01A">
      <w:pPr>
        <w:pStyle w:val="16"/>
        <w:tabs>
          <w:tab w:val="right" w:leader="dot" w:pos="8296"/>
        </w:tabs>
      </w:pPr>
      <w:r>
        <w:rPr>
          <w:rStyle w:val="23"/>
        </w:rPr>
        <w:fldChar w:fldCharType="begin"/>
      </w:r>
      <w:r>
        <w:rPr>
          <w:rStyle w:val="23"/>
        </w:rPr>
        <w:instrText xml:space="preserve"> </w:instrText>
      </w:r>
      <w:r>
        <w:instrText xml:space="preserve">HYPERLINK \l "_Toc192169709"</w:instrText>
      </w:r>
      <w:r>
        <w:rPr>
          <w:rStyle w:val="23"/>
        </w:rPr>
        <w:instrText xml:space="preserve"> </w:instrText>
      </w:r>
      <w:r>
        <w:rPr>
          <w:rStyle w:val="23"/>
        </w:rPr>
        <w:fldChar w:fldCharType="separate"/>
      </w:r>
      <w:r>
        <w:rPr>
          <w:rStyle w:val="23"/>
          <w:rFonts w:hint="eastAsia"/>
        </w:rPr>
        <w:t>（三）标准主要内容确定依据</w:t>
      </w:r>
      <w:r>
        <w:tab/>
      </w:r>
      <w:r>
        <w:fldChar w:fldCharType="begin"/>
      </w:r>
      <w:r>
        <w:instrText xml:space="preserve"> PAGEREF _Toc192169709 \h </w:instrText>
      </w:r>
      <w:r>
        <w:fldChar w:fldCharType="separate"/>
      </w:r>
      <w:r>
        <w:t>8</w:t>
      </w:r>
      <w:r>
        <w:fldChar w:fldCharType="end"/>
      </w:r>
      <w:r>
        <w:rPr>
          <w:rStyle w:val="23"/>
        </w:rPr>
        <w:fldChar w:fldCharType="end"/>
      </w:r>
    </w:p>
    <w:p w14:paraId="6F2531AC">
      <w:pPr>
        <w:pStyle w:val="9"/>
        <w:tabs>
          <w:tab w:val="right" w:leader="dot" w:pos="8296"/>
        </w:tabs>
      </w:pPr>
      <w:r>
        <w:rPr>
          <w:rStyle w:val="23"/>
        </w:rPr>
        <w:fldChar w:fldCharType="begin"/>
      </w:r>
      <w:r>
        <w:rPr>
          <w:rStyle w:val="23"/>
        </w:rPr>
        <w:instrText xml:space="preserve"> </w:instrText>
      </w:r>
      <w:r>
        <w:instrText xml:space="preserve">HYPERLINK \l "_Toc192169710"</w:instrText>
      </w:r>
      <w:r>
        <w:rPr>
          <w:rStyle w:val="23"/>
        </w:rPr>
        <w:instrText xml:space="preserve"> </w:instrText>
      </w:r>
      <w:r>
        <w:rPr>
          <w:rStyle w:val="23"/>
        </w:rPr>
        <w:fldChar w:fldCharType="separate"/>
      </w:r>
      <w:r>
        <w:rPr>
          <w:rStyle w:val="23"/>
        </w:rPr>
        <w:t>1</w:t>
      </w:r>
      <w:r>
        <w:rPr>
          <w:rStyle w:val="23"/>
          <w:rFonts w:hint="eastAsia"/>
        </w:rPr>
        <w:t>.标准编制过程依据的法律法规及政策文件</w:t>
      </w:r>
      <w:r>
        <w:tab/>
      </w:r>
      <w:r>
        <w:rPr>
          <w:rFonts w:hint="eastAsia"/>
          <w:lang w:val="en-US" w:eastAsia="zh-CN"/>
        </w:rPr>
        <w:t>8</w:t>
      </w:r>
      <w:r>
        <w:rPr>
          <w:rStyle w:val="23"/>
        </w:rPr>
        <w:fldChar w:fldCharType="end"/>
      </w:r>
      <w:r>
        <w:rPr>
          <w:rStyle w:val="23"/>
        </w:rPr>
        <w:br w:type="textWrapping"/>
      </w:r>
      <w:r>
        <w:rPr>
          <w:rStyle w:val="23"/>
        </w:rPr>
        <w:fldChar w:fldCharType="begin"/>
      </w:r>
      <w:r>
        <w:rPr>
          <w:rStyle w:val="23"/>
        </w:rPr>
        <w:instrText xml:space="preserve"> </w:instrText>
      </w:r>
      <w:r>
        <w:instrText xml:space="preserve">HYPERLINK \l "_Toc192169710"</w:instrText>
      </w:r>
      <w:r>
        <w:rPr>
          <w:rStyle w:val="23"/>
        </w:rPr>
        <w:instrText xml:space="preserve"> </w:instrText>
      </w:r>
      <w:r>
        <w:rPr>
          <w:rStyle w:val="23"/>
        </w:rPr>
        <w:fldChar w:fldCharType="separate"/>
      </w:r>
      <w:r>
        <w:rPr>
          <w:rStyle w:val="23"/>
          <w:rFonts w:hint="eastAsia" w:eastAsia="宋体"/>
          <w:lang w:val="en-US" w:eastAsia="zh-CN"/>
        </w:rPr>
        <w:t>2</w:t>
      </w:r>
      <w:r>
        <w:rPr>
          <w:rStyle w:val="23"/>
          <w:rFonts w:hint="eastAsia"/>
        </w:rPr>
        <w:t>.标准适用范围的确定依据</w:t>
      </w:r>
      <w:r>
        <w:tab/>
      </w:r>
      <w:r>
        <w:fldChar w:fldCharType="begin"/>
      </w:r>
      <w:r>
        <w:instrText xml:space="preserve"> PAGEREF _Toc192169710 \h </w:instrText>
      </w:r>
      <w:r>
        <w:fldChar w:fldCharType="separate"/>
      </w:r>
      <w:r>
        <w:t>9</w:t>
      </w:r>
      <w:r>
        <w:fldChar w:fldCharType="end"/>
      </w:r>
      <w:r>
        <w:rPr>
          <w:rStyle w:val="23"/>
        </w:rPr>
        <w:fldChar w:fldCharType="end"/>
      </w:r>
    </w:p>
    <w:p w14:paraId="702F28C2">
      <w:pPr>
        <w:pStyle w:val="9"/>
        <w:tabs>
          <w:tab w:val="right" w:leader="dot" w:pos="8296"/>
        </w:tabs>
        <w:rPr>
          <w:rFonts w:hint="eastAsia" w:eastAsia="宋体"/>
          <w:lang w:val="en-US" w:eastAsia="zh-CN"/>
        </w:rPr>
      </w:pPr>
      <w:r>
        <w:rPr>
          <w:rStyle w:val="23"/>
        </w:rPr>
        <w:fldChar w:fldCharType="begin"/>
      </w:r>
      <w:r>
        <w:rPr>
          <w:rStyle w:val="23"/>
        </w:rPr>
        <w:instrText xml:space="preserve"> </w:instrText>
      </w:r>
      <w:r>
        <w:instrText xml:space="preserve">HYPERLINK \l "_Toc192169711"</w:instrText>
      </w:r>
      <w:r>
        <w:rPr>
          <w:rStyle w:val="23"/>
        </w:rPr>
        <w:instrText xml:space="preserve"> </w:instrText>
      </w:r>
      <w:r>
        <w:rPr>
          <w:rStyle w:val="23"/>
        </w:rPr>
        <w:fldChar w:fldCharType="separate"/>
      </w:r>
      <w:r>
        <w:rPr>
          <w:rStyle w:val="23"/>
          <w:rFonts w:hint="eastAsia" w:eastAsia="宋体"/>
          <w:lang w:val="en-US" w:eastAsia="zh-CN"/>
        </w:rPr>
        <w:t>3</w:t>
      </w:r>
      <w:r>
        <w:rPr>
          <w:rStyle w:val="23"/>
          <w:rFonts w:hint="eastAsia"/>
        </w:rPr>
        <w:t>.标准内容框架的确定依据</w:t>
      </w:r>
      <w:r>
        <w:tab/>
      </w:r>
      <w:r>
        <w:rPr>
          <w:rFonts w:hint="eastAsia"/>
          <w:lang w:val="en-US" w:eastAsia="zh-CN"/>
        </w:rPr>
        <w:t>1</w:t>
      </w:r>
      <w:r>
        <w:rPr>
          <w:rStyle w:val="23"/>
        </w:rPr>
        <w:fldChar w:fldCharType="end"/>
      </w:r>
      <w:r>
        <w:rPr>
          <w:rFonts w:hint="eastAsia"/>
          <w:lang w:val="en-US" w:eastAsia="zh-CN"/>
        </w:rPr>
        <w:t>0</w:t>
      </w:r>
    </w:p>
    <w:p w14:paraId="52D6EDE5">
      <w:pPr>
        <w:pStyle w:val="9"/>
        <w:tabs>
          <w:tab w:val="right" w:leader="dot" w:pos="8296"/>
        </w:tabs>
        <w:rPr>
          <w:rFonts w:hint="eastAsia" w:eastAsia="宋体"/>
          <w:lang w:val="en-US" w:eastAsia="zh-CN"/>
        </w:rPr>
      </w:pPr>
      <w:r>
        <w:rPr>
          <w:rStyle w:val="23"/>
        </w:rPr>
        <w:fldChar w:fldCharType="begin"/>
      </w:r>
      <w:r>
        <w:rPr>
          <w:rStyle w:val="23"/>
        </w:rPr>
        <w:instrText xml:space="preserve"> </w:instrText>
      </w:r>
      <w:r>
        <w:instrText xml:space="preserve">HYPERLINK \l "_Toc192169714"</w:instrText>
      </w:r>
      <w:r>
        <w:rPr>
          <w:rStyle w:val="23"/>
        </w:rPr>
        <w:instrText xml:space="preserve"> </w:instrText>
      </w:r>
      <w:r>
        <w:rPr>
          <w:rStyle w:val="23"/>
        </w:rPr>
        <w:fldChar w:fldCharType="separate"/>
      </w:r>
      <w:r>
        <w:rPr>
          <w:rStyle w:val="23"/>
          <w:rFonts w:hint="eastAsia" w:eastAsia="宋体"/>
          <w:lang w:val="en-US" w:eastAsia="zh-CN"/>
        </w:rPr>
        <w:t>4.</w:t>
      </w:r>
      <w:r>
        <w:rPr>
          <w:rStyle w:val="23"/>
          <w:rFonts w:hint="eastAsia"/>
        </w:rPr>
        <w:t>中医证候分类与辨识的确定依据</w:t>
      </w:r>
      <w:r>
        <w:tab/>
      </w:r>
      <w:r>
        <w:rPr>
          <w:rFonts w:hint="eastAsia"/>
          <w:lang w:val="en-US" w:eastAsia="zh-CN"/>
        </w:rPr>
        <w:t>1</w:t>
      </w:r>
      <w:r>
        <w:rPr>
          <w:rStyle w:val="23"/>
        </w:rPr>
        <w:fldChar w:fldCharType="end"/>
      </w:r>
      <w:r>
        <w:rPr>
          <w:rFonts w:hint="eastAsia"/>
          <w:lang w:val="en-US" w:eastAsia="zh-CN"/>
        </w:rPr>
        <w:t>0</w:t>
      </w:r>
    </w:p>
    <w:p w14:paraId="2DB7FC1B">
      <w:pPr>
        <w:pStyle w:val="9"/>
        <w:tabs>
          <w:tab w:val="right" w:leader="dot" w:pos="8296"/>
        </w:tabs>
      </w:pPr>
      <w:r>
        <w:rPr>
          <w:rStyle w:val="23"/>
        </w:rPr>
        <w:fldChar w:fldCharType="begin"/>
      </w:r>
      <w:r>
        <w:rPr>
          <w:rStyle w:val="23"/>
        </w:rPr>
        <w:instrText xml:space="preserve"> </w:instrText>
      </w:r>
      <w:r>
        <w:instrText xml:space="preserve">HYPERLINK \l "_Toc192169715"</w:instrText>
      </w:r>
      <w:r>
        <w:rPr>
          <w:rStyle w:val="23"/>
        </w:rPr>
        <w:instrText xml:space="preserve"> </w:instrText>
      </w:r>
      <w:r>
        <w:rPr>
          <w:rStyle w:val="23"/>
        </w:rPr>
        <w:fldChar w:fldCharType="separate"/>
      </w:r>
      <w:r>
        <w:rPr>
          <w:rStyle w:val="23"/>
          <w:rFonts w:hint="eastAsia" w:eastAsia="宋体"/>
          <w:lang w:val="en-US" w:eastAsia="zh-CN"/>
        </w:rPr>
        <w:t>5.</w:t>
      </w:r>
      <w:r>
        <w:rPr>
          <w:rStyle w:val="23"/>
          <w:rFonts w:hint="eastAsia"/>
        </w:rPr>
        <w:t>中医膳食治疗原则的确定依据</w:t>
      </w:r>
      <w:r>
        <w:tab/>
      </w:r>
      <w:r>
        <w:fldChar w:fldCharType="begin"/>
      </w:r>
      <w:r>
        <w:instrText xml:space="preserve"> PAGEREF _Toc192169715 \h </w:instrText>
      </w:r>
      <w:r>
        <w:fldChar w:fldCharType="separate"/>
      </w:r>
      <w:r>
        <w:t>10</w:t>
      </w:r>
      <w:r>
        <w:fldChar w:fldCharType="end"/>
      </w:r>
      <w:r>
        <w:rPr>
          <w:rStyle w:val="23"/>
        </w:rPr>
        <w:fldChar w:fldCharType="end"/>
      </w:r>
    </w:p>
    <w:p w14:paraId="7BBE0BD1">
      <w:pPr>
        <w:pStyle w:val="9"/>
        <w:tabs>
          <w:tab w:val="right" w:leader="dot" w:pos="8296"/>
        </w:tabs>
        <w:rPr>
          <w:rStyle w:val="23"/>
          <w:rFonts w:hint="eastAsia" w:eastAsia="宋体"/>
          <w:lang w:val="en-US" w:eastAsia="zh-CN"/>
        </w:rPr>
      </w:pPr>
      <w:r>
        <w:rPr>
          <w:rStyle w:val="23"/>
        </w:rPr>
        <w:fldChar w:fldCharType="begin"/>
      </w:r>
      <w:r>
        <w:rPr>
          <w:rStyle w:val="23"/>
        </w:rPr>
        <w:instrText xml:space="preserve"> </w:instrText>
      </w:r>
      <w:r>
        <w:instrText xml:space="preserve">HYPERLINK \l "_Toc192169716"</w:instrText>
      </w:r>
      <w:r>
        <w:rPr>
          <w:rStyle w:val="23"/>
        </w:rPr>
        <w:instrText xml:space="preserve"> </w:instrText>
      </w:r>
      <w:r>
        <w:rPr>
          <w:rStyle w:val="23"/>
        </w:rPr>
        <w:fldChar w:fldCharType="separate"/>
      </w:r>
      <w:r>
        <w:rPr>
          <w:rStyle w:val="23"/>
          <w:rFonts w:hint="eastAsia" w:eastAsia="宋体"/>
          <w:lang w:val="en-US" w:eastAsia="zh-CN"/>
        </w:rPr>
        <w:t>6.</w:t>
      </w:r>
      <w:r>
        <w:rPr>
          <w:rStyle w:val="23"/>
          <w:rFonts w:hint="eastAsia"/>
        </w:rPr>
        <w:t>膳食推荐方案的确定依据</w:t>
      </w:r>
      <w:r>
        <w:tab/>
      </w:r>
      <w:r>
        <w:rPr>
          <w:rFonts w:hint="eastAsia"/>
          <w:lang w:val="en-US" w:eastAsia="zh-CN"/>
        </w:rPr>
        <w:t>1</w:t>
      </w:r>
      <w:r>
        <w:rPr>
          <w:rStyle w:val="23"/>
        </w:rPr>
        <w:fldChar w:fldCharType="end"/>
      </w:r>
      <w:r>
        <w:rPr>
          <w:rStyle w:val="23"/>
          <w:rFonts w:hint="default" w:eastAsia="宋体" w:asciiTheme="minorAscii" w:hAnsiTheme="minorAscii"/>
          <w:sz w:val="24"/>
          <w:szCs w:val="24"/>
          <w:lang w:val="en-US" w:eastAsia="zh-CN"/>
        </w:rPr>
        <w:t>0</w:t>
      </w:r>
    </w:p>
    <w:p w14:paraId="4BB2B701">
      <w:pPr>
        <w:pStyle w:val="9"/>
        <w:tabs>
          <w:tab w:val="right" w:leader="dot" w:pos="8296"/>
        </w:tabs>
        <w:rPr>
          <w:rFonts w:hint="eastAsia" w:eastAsia="宋体"/>
          <w:lang w:val="en-US" w:eastAsia="zh-CN"/>
        </w:rPr>
      </w:pPr>
      <w:r>
        <w:rPr>
          <w:rStyle w:val="23"/>
        </w:rPr>
        <w:fldChar w:fldCharType="begin"/>
      </w:r>
      <w:r>
        <w:rPr>
          <w:rStyle w:val="23"/>
        </w:rPr>
        <w:instrText xml:space="preserve"> </w:instrText>
      </w:r>
      <w:r>
        <w:instrText xml:space="preserve">HYPERLINK \l "_Toc192169716"</w:instrText>
      </w:r>
      <w:r>
        <w:rPr>
          <w:rStyle w:val="23"/>
        </w:rPr>
        <w:instrText xml:space="preserve"> </w:instrText>
      </w:r>
      <w:r>
        <w:rPr>
          <w:rStyle w:val="23"/>
        </w:rPr>
        <w:fldChar w:fldCharType="separate"/>
      </w:r>
      <w:r>
        <w:rPr>
          <w:rStyle w:val="23"/>
          <w:rFonts w:hint="eastAsia" w:eastAsia="宋体"/>
          <w:lang w:val="en-US" w:eastAsia="zh-CN"/>
        </w:rPr>
        <w:t>7.膳食管理小组</w:t>
      </w:r>
      <w:r>
        <w:rPr>
          <w:rStyle w:val="23"/>
          <w:rFonts w:hint="eastAsia"/>
        </w:rPr>
        <w:t>的确定依据</w:t>
      </w:r>
      <w:r>
        <w:tab/>
      </w:r>
      <w:r>
        <w:rPr>
          <w:rFonts w:hint="eastAsia"/>
          <w:lang w:val="en-US" w:eastAsia="zh-CN"/>
        </w:rPr>
        <w:t>1</w:t>
      </w:r>
      <w:r>
        <w:rPr>
          <w:rStyle w:val="23"/>
        </w:rPr>
        <w:fldChar w:fldCharType="end"/>
      </w:r>
      <w:r>
        <w:rPr>
          <w:rFonts w:hint="eastAsia"/>
          <w:lang w:val="en-US" w:eastAsia="zh-CN"/>
        </w:rPr>
        <w:t>1</w:t>
      </w:r>
    </w:p>
    <w:p w14:paraId="70E5D73B">
      <w:pPr>
        <w:pStyle w:val="9"/>
        <w:tabs>
          <w:tab w:val="right" w:leader="dot" w:pos="8296"/>
        </w:tabs>
        <w:rPr>
          <w:rFonts w:hint="default" w:eastAsia="宋体"/>
          <w:lang w:val="en-US" w:eastAsia="zh-CN"/>
        </w:rPr>
      </w:pPr>
      <w:r>
        <w:rPr>
          <w:rStyle w:val="23"/>
        </w:rPr>
        <w:fldChar w:fldCharType="begin"/>
      </w:r>
      <w:r>
        <w:rPr>
          <w:rStyle w:val="23"/>
        </w:rPr>
        <w:instrText xml:space="preserve"> </w:instrText>
      </w:r>
      <w:r>
        <w:instrText xml:space="preserve">HYPERLINK \l "_Toc192169716"</w:instrText>
      </w:r>
      <w:r>
        <w:rPr>
          <w:rStyle w:val="23"/>
        </w:rPr>
        <w:instrText xml:space="preserve"> </w:instrText>
      </w:r>
      <w:r>
        <w:rPr>
          <w:rStyle w:val="23"/>
        </w:rPr>
        <w:fldChar w:fldCharType="separate"/>
      </w:r>
      <w:r>
        <w:rPr>
          <w:rStyle w:val="23"/>
          <w:rFonts w:hint="eastAsia" w:eastAsia="宋体"/>
          <w:lang w:val="en-US" w:eastAsia="zh-CN"/>
        </w:rPr>
        <w:t>8.评估与监测</w:t>
      </w:r>
      <w:r>
        <w:rPr>
          <w:rStyle w:val="23"/>
          <w:rFonts w:hint="eastAsia"/>
        </w:rPr>
        <w:t>的确定依据</w:t>
      </w:r>
      <w:r>
        <w:tab/>
      </w:r>
      <w:r>
        <w:rPr>
          <w:rStyle w:val="23"/>
        </w:rPr>
        <w:fldChar w:fldCharType="end"/>
      </w:r>
      <w:r>
        <w:rPr>
          <w:rFonts w:hint="eastAsia"/>
          <w:lang w:val="en-US" w:eastAsia="zh-CN"/>
        </w:rPr>
        <w:t>11</w:t>
      </w:r>
    </w:p>
    <w:p w14:paraId="795369B2">
      <w:pPr>
        <w:pStyle w:val="9"/>
        <w:tabs>
          <w:tab w:val="right" w:leader="dot" w:pos="8296"/>
        </w:tabs>
        <w:rPr>
          <w:rFonts w:hint="eastAsia" w:eastAsia="宋体"/>
          <w:lang w:val="en-US" w:eastAsia="zh-CN"/>
        </w:rPr>
      </w:pPr>
      <w:r>
        <w:rPr>
          <w:rStyle w:val="23"/>
        </w:rPr>
        <w:fldChar w:fldCharType="begin"/>
      </w:r>
      <w:r>
        <w:rPr>
          <w:rStyle w:val="23"/>
        </w:rPr>
        <w:instrText xml:space="preserve"> </w:instrText>
      </w:r>
      <w:r>
        <w:instrText xml:space="preserve">HYPERLINK \l "_Toc192169716"</w:instrText>
      </w:r>
      <w:r>
        <w:rPr>
          <w:rStyle w:val="23"/>
        </w:rPr>
        <w:instrText xml:space="preserve"> </w:instrText>
      </w:r>
      <w:r>
        <w:rPr>
          <w:rStyle w:val="23"/>
        </w:rPr>
        <w:fldChar w:fldCharType="separate"/>
      </w:r>
      <w:r>
        <w:rPr>
          <w:rStyle w:val="23"/>
          <w:rFonts w:hint="eastAsia" w:eastAsia="宋体"/>
          <w:lang w:val="en-US" w:eastAsia="zh-CN"/>
        </w:rPr>
        <w:t>9.针对患者或患者家属的膳食宣教的</w:t>
      </w:r>
      <w:r>
        <w:rPr>
          <w:rStyle w:val="23"/>
          <w:rFonts w:hint="eastAsia"/>
        </w:rPr>
        <w:t>确定依据</w:t>
      </w:r>
      <w:r>
        <w:tab/>
      </w:r>
      <w:r>
        <w:rPr>
          <w:rStyle w:val="23"/>
        </w:rPr>
        <w:fldChar w:fldCharType="end"/>
      </w:r>
      <w:r>
        <w:rPr>
          <w:rFonts w:hint="eastAsia"/>
          <w:lang w:val="en-US" w:eastAsia="zh-CN"/>
        </w:rPr>
        <w:t>12</w:t>
      </w:r>
    </w:p>
    <w:p w14:paraId="6C0CAAC8">
      <w:pPr>
        <w:pStyle w:val="9"/>
        <w:tabs>
          <w:tab w:val="right" w:leader="dot" w:pos="8296"/>
        </w:tabs>
        <w:rPr>
          <w:rFonts w:hint="eastAsia" w:eastAsia="宋体"/>
          <w:lang w:val="en-US" w:eastAsia="zh-CN"/>
        </w:rPr>
      </w:pPr>
      <w:r>
        <w:rPr>
          <w:rStyle w:val="23"/>
        </w:rPr>
        <w:fldChar w:fldCharType="begin"/>
      </w:r>
      <w:r>
        <w:rPr>
          <w:rStyle w:val="23"/>
        </w:rPr>
        <w:instrText xml:space="preserve"> </w:instrText>
      </w:r>
      <w:r>
        <w:instrText xml:space="preserve">HYPERLINK \l "_Toc192169716"</w:instrText>
      </w:r>
      <w:r>
        <w:rPr>
          <w:rStyle w:val="23"/>
        </w:rPr>
        <w:instrText xml:space="preserve"> </w:instrText>
      </w:r>
      <w:r>
        <w:rPr>
          <w:rStyle w:val="23"/>
        </w:rPr>
        <w:fldChar w:fldCharType="separate"/>
      </w:r>
      <w:r>
        <w:rPr>
          <w:rStyle w:val="23"/>
          <w:rFonts w:hint="eastAsia" w:eastAsia="宋体"/>
          <w:lang w:val="en-US" w:eastAsia="zh-CN"/>
        </w:rPr>
        <w:t>10.患者依从性管理的</w:t>
      </w:r>
      <w:r>
        <w:rPr>
          <w:rStyle w:val="23"/>
          <w:rFonts w:hint="eastAsia"/>
        </w:rPr>
        <w:t>确定依据</w:t>
      </w:r>
      <w:r>
        <w:tab/>
      </w:r>
      <w:r>
        <w:rPr>
          <w:rFonts w:hint="eastAsia"/>
          <w:lang w:val="en-US" w:eastAsia="zh-CN"/>
        </w:rPr>
        <w:t>1</w:t>
      </w:r>
      <w:r>
        <w:rPr>
          <w:rStyle w:val="23"/>
        </w:rPr>
        <w:fldChar w:fldCharType="end"/>
      </w:r>
      <w:r>
        <w:rPr>
          <w:rFonts w:hint="eastAsia"/>
          <w:lang w:val="en-US" w:eastAsia="zh-CN"/>
        </w:rPr>
        <w:t>2</w:t>
      </w:r>
    </w:p>
    <w:p w14:paraId="1D968F49">
      <w:pPr>
        <w:pStyle w:val="12"/>
        <w:tabs>
          <w:tab w:val="right" w:leader="dot" w:pos="8296"/>
        </w:tabs>
        <w:rPr>
          <w:rFonts w:hint="eastAsia" w:eastAsia="宋体"/>
          <w:lang w:val="en-US" w:eastAsia="zh-CN"/>
        </w:rPr>
      </w:pPr>
      <w:r>
        <w:rPr>
          <w:rStyle w:val="23"/>
        </w:rPr>
        <w:fldChar w:fldCharType="begin"/>
      </w:r>
      <w:r>
        <w:rPr>
          <w:rStyle w:val="23"/>
        </w:rPr>
        <w:instrText xml:space="preserve"> </w:instrText>
      </w:r>
      <w:r>
        <w:instrText xml:space="preserve">HYPERLINK \l "_Toc192169718"</w:instrText>
      </w:r>
      <w:r>
        <w:rPr>
          <w:rStyle w:val="23"/>
        </w:rPr>
        <w:instrText xml:space="preserve"> </w:instrText>
      </w:r>
      <w:r>
        <w:rPr>
          <w:rStyle w:val="23"/>
        </w:rPr>
        <w:fldChar w:fldCharType="separate"/>
      </w:r>
      <w:r>
        <w:rPr>
          <w:rStyle w:val="23"/>
          <w:rFonts w:hint="eastAsia"/>
        </w:rPr>
        <w:t>四、标准有何先进性或特色性</w:t>
      </w:r>
      <w:r>
        <w:tab/>
      </w:r>
      <w:r>
        <w:fldChar w:fldCharType="begin"/>
      </w:r>
      <w:r>
        <w:instrText xml:space="preserve"> PAGEREF _Toc192169718 \h </w:instrText>
      </w:r>
      <w:r>
        <w:fldChar w:fldCharType="separate"/>
      </w:r>
      <w:r>
        <w:t>1</w:t>
      </w:r>
      <w:r>
        <w:fldChar w:fldCharType="end"/>
      </w:r>
      <w:r>
        <w:rPr>
          <w:rStyle w:val="23"/>
        </w:rPr>
        <w:fldChar w:fldCharType="end"/>
      </w:r>
      <w:r>
        <w:rPr>
          <w:rFonts w:hint="eastAsia"/>
          <w:lang w:val="en-US" w:eastAsia="zh-CN"/>
        </w:rPr>
        <w:t>2</w:t>
      </w:r>
    </w:p>
    <w:p w14:paraId="693B4E3F">
      <w:pPr>
        <w:pStyle w:val="12"/>
        <w:tabs>
          <w:tab w:val="right" w:leader="dot" w:pos="8296"/>
        </w:tabs>
        <w:rPr>
          <w:rFonts w:hint="default" w:eastAsia="宋体"/>
          <w:lang w:val="en-US" w:eastAsia="zh-CN"/>
        </w:rPr>
      </w:pPr>
      <w:r>
        <w:rPr>
          <w:rStyle w:val="23"/>
        </w:rPr>
        <w:fldChar w:fldCharType="begin"/>
      </w:r>
      <w:r>
        <w:rPr>
          <w:rStyle w:val="23"/>
        </w:rPr>
        <w:instrText xml:space="preserve"> </w:instrText>
      </w:r>
      <w:r>
        <w:instrText xml:space="preserve">HYPERLINK \l "_Toc192169719"</w:instrText>
      </w:r>
      <w:r>
        <w:rPr>
          <w:rStyle w:val="23"/>
        </w:rPr>
        <w:instrText xml:space="preserve"> </w:instrText>
      </w:r>
      <w:r>
        <w:rPr>
          <w:rStyle w:val="23"/>
        </w:rPr>
        <w:fldChar w:fldCharType="separate"/>
      </w:r>
      <w:r>
        <w:rPr>
          <w:rStyle w:val="23"/>
          <w:rFonts w:hint="eastAsia"/>
        </w:rPr>
        <w:t>五、标准在粤港澳三地调研、研讨、征求意见及邀请三地专家审定的情况</w:t>
      </w:r>
      <w:r>
        <w:tab/>
      </w:r>
      <w:r>
        <w:fldChar w:fldCharType="begin"/>
      </w:r>
      <w:r>
        <w:instrText xml:space="preserve"> PAGEREF _Toc192169719 \h </w:instrText>
      </w:r>
      <w:r>
        <w:fldChar w:fldCharType="separate"/>
      </w:r>
      <w:r>
        <w:t>1</w:t>
      </w:r>
      <w:r>
        <w:fldChar w:fldCharType="end"/>
      </w:r>
      <w:r>
        <w:rPr>
          <w:rStyle w:val="23"/>
        </w:rPr>
        <w:fldChar w:fldCharType="end"/>
      </w:r>
      <w:r>
        <w:rPr>
          <w:rFonts w:hint="eastAsia"/>
          <w:lang w:val="en-US" w:eastAsia="zh-CN"/>
        </w:rPr>
        <w:t>3</w:t>
      </w:r>
    </w:p>
    <w:p w14:paraId="73FFC9D8">
      <w:pPr>
        <w:pStyle w:val="12"/>
        <w:tabs>
          <w:tab w:val="right" w:leader="dot" w:pos="8296"/>
        </w:tabs>
        <w:rPr>
          <w:rFonts w:hint="eastAsia" w:eastAsia="宋体"/>
          <w:lang w:val="en-US" w:eastAsia="zh-CN"/>
        </w:rPr>
      </w:pPr>
      <w:r>
        <w:rPr>
          <w:rStyle w:val="23"/>
        </w:rPr>
        <w:fldChar w:fldCharType="begin"/>
      </w:r>
      <w:r>
        <w:rPr>
          <w:rStyle w:val="23"/>
        </w:rPr>
        <w:instrText xml:space="preserve"> </w:instrText>
      </w:r>
      <w:r>
        <w:instrText xml:space="preserve">HYPERLINK \l "_Toc192169718"</w:instrText>
      </w:r>
      <w:r>
        <w:rPr>
          <w:rStyle w:val="23"/>
        </w:rPr>
        <w:instrText xml:space="preserve"> </w:instrText>
      </w:r>
      <w:r>
        <w:rPr>
          <w:rStyle w:val="23"/>
        </w:rPr>
        <w:fldChar w:fldCharType="separate"/>
      </w:r>
      <w:r>
        <w:rPr>
          <w:rStyle w:val="23"/>
          <w:rFonts w:hint="eastAsia" w:eastAsia="宋体"/>
          <w:lang w:val="en-US" w:eastAsia="zh-CN"/>
        </w:rPr>
        <w:t>六</w:t>
      </w:r>
      <w:r>
        <w:rPr>
          <w:rStyle w:val="23"/>
          <w:rFonts w:hint="eastAsia"/>
        </w:rPr>
        <w:t>、</w:t>
      </w:r>
      <w:r>
        <w:rPr>
          <w:rStyle w:val="23"/>
          <w:rFonts w:hint="eastAsia" w:eastAsia="宋体"/>
          <w:lang w:val="en-US" w:eastAsia="zh-CN"/>
        </w:rPr>
        <w:t>技术指标设置的科学性和可行性</w:t>
      </w:r>
      <w:r>
        <w:tab/>
      </w:r>
      <w:r>
        <w:fldChar w:fldCharType="begin"/>
      </w:r>
      <w:r>
        <w:instrText xml:space="preserve"> PAGEREF _Toc192169718 \h </w:instrText>
      </w:r>
      <w:r>
        <w:fldChar w:fldCharType="separate"/>
      </w:r>
      <w:r>
        <w:t>1</w:t>
      </w:r>
      <w:r>
        <w:fldChar w:fldCharType="end"/>
      </w:r>
      <w:r>
        <w:rPr>
          <w:rStyle w:val="23"/>
        </w:rPr>
        <w:fldChar w:fldCharType="end"/>
      </w:r>
      <w:r>
        <w:rPr>
          <w:rFonts w:hint="eastAsia"/>
          <w:lang w:val="en-US" w:eastAsia="zh-CN"/>
        </w:rPr>
        <w:t>4</w:t>
      </w:r>
      <w:r>
        <w:rPr>
          <w:rStyle w:val="23"/>
          <w:rFonts w:hint="eastAsia" w:eastAsia="宋体"/>
          <w:lang w:val="en-US" w:eastAsia="zh-CN"/>
        </w:rPr>
        <w:br w:type="textWrapping"/>
      </w:r>
      <w:r>
        <w:rPr>
          <w:rStyle w:val="23"/>
        </w:rPr>
        <w:fldChar w:fldCharType="begin"/>
      </w:r>
      <w:r>
        <w:rPr>
          <w:rStyle w:val="23"/>
        </w:rPr>
        <w:instrText xml:space="preserve"> </w:instrText>
      </w:r>
      <w:r>
        <w:instrText xml:space="preserve">HYPERLINK \l "_Toc192169718"</w:instrText>
      </w:r>
      <w:r>
        <w:rPr>
          <w:rStyle w:val="23"/>
        </w:rPr>
        <w:instrText xml:space="preserve"> </w:instrText>
      </w:r>
      <w:r>
        <w:rPr>
          <w:rStyle w:val="23"/>
        </w:rPr>
        <w:fldChar w:fldCharType="separate"/>
      </w:r>
      <w:r>
        <w:rPr>
          <w:rStyle w:val="23"/>
          <w:rFonts w:hint="eastAsia" w:eastAsia="宋体"/>
          <w:lang w:val="en-US" w:eastAsia="zh-CN"/>
        </w:rPr>
        <w:t>七</w:t>
      </w:r>
      <w:r>
        <w:rPr>
          <w:rStyle w:val="23"/>
          <w:rFonts w:hint="eastAsia"/>
        </w:rPr>
        <w:t>、与国际、国家、行业、其他省同类标准技术内容的对比情况</w:t>
      </w:r>
      <w:r>
        <w:tab/>
      </w:r>
      <w:r>
        <w:fldChar w:fldCharType="begin"/>
      </w:r>
      <w:r>
        <w:instrText xml:space="preserve"> PAGEREF _Toc192169718 \h </w:instrText>
      </w:r>
      <w:r>
        <w:fldChar w:fldCharType="separate"/>
      </w:r>
      <w:r>
        <w:t>1</w:t>
      </w:r>
      <w:r>
        <w:fldChar w:fldCharType="end"/>
      </w:r>
      <w:r>
        <w:rPr>
          <w:rStyle w:val="23"/>
        </w:rPr>
        <w:fldChar w:fldCharType="end"/>
      </w:r>
      <w:r>
        <w:rPr>
          <w:rFonts w:hint="eastAsia"/>
          <w:lang w:val="en-US" w:eastAsia="zh-CN"/>
        </w:rPr>
        <w:t>4</w:t>
      </w:r>
      <w:r>
        <w:rPr>
          <w:rStyle w:val="23"/>
          <w:rFonts w:hint="eastAsia" w:eastAsia="宋体"/>
          <w:lang w:val="en-US" w:eastAsia="zh-CN"/>
        </w:rPr>
        <w:br w:type="textWrapping"/>
      </w:r>
      <w:r>
        <w:rPr>
          <w:rStyle w:val="23"/>
        </w:rPr>
        <w:fldChar w:fldCharType="begin"/>
      </w:r>
      <w:r>
        <w:rPr>
          <w:rStyle w:val="23"/>
        </w:rPr>
        <w:instrText xml:space="preserve"> </w:instrText>
      </w:r>
      <w:r>
        <w:instrText xml:space="preserve">HYPERLINK \l "_Toc192169720"</w:instrText>
      </w:r>
      <w:r>
        <w:rPr>
          <w:rStyle w:val="23"/>
        </w:rPr>
        <w:instrText xml:space="preserve"> </w:instrText>
      </w:r>
      <w:r>
        <w:rPr>
          <w:rStyle w:val="23"/>
        </w:rPr>
        <w:fldChar w:fldCharType="separate"/>
      </w:r>
      <w:r>
        <w:rPr>
          <w:rStyle w:val="23"/>
          <w:rFonts w:hint="eastAsia"/>
        </w:rPr>
        <w:t>八、涉及专利的有关说明</w:t>
      </w:r>
      <w:r>
        <w:tab/>
      </w:r>
      <w:r>
        <w:fldChar w:fldCharType="begin"/>
      </w:r>
      <w:r>
        <w:instrText xml:space="preserve"> PAGEREF _Toc192169720 \h </w:instrText>
      </w:r>
      <w:r>
        <w:fldChar w:fldCharType="separate"/>
      </w:r>
      <w:r>
        <w:t>1</w:t>
      </w:r>
      <w:r>
        <w:fldChar w:fldCharType="end"/>
      </w:r>
      <w:r>
        <w:rPr>
          <w:rStyle w:val="23"/>
        </w:rPr>
        <w:fldChar w:fldCharType="end"/>
      </w:r>
      <w:r>
        <w:rPr>
          <w:rFonts w:hint="eastAsia"/>
          <w:lang w:val="en-US" w:eastAsia="zh-CN"/>
        </w:rPr>
        <w:t>4</w:t>
      </w:r>
    </w:p>
    <w:p w14:paraId="727E3FDA">
      <w:pPr>
        <w:pStyle w:val="12"/>
        <w:tabs>
          <w:tab w:val="right" w:leader="dot" w:pos="8296"/>
        </w:tabs>
      </w:pPr>
      <w:r>
        <w:rPr>
          <w:rStyle w:val="23"/>
        </w:rPr>
        <w:fldChar w:fldCharType="begin"/>
      </w:r>
      <w:r>
        <w:rPr>
          <w:rStyle w:val="23"/>
        </w:rPr>
        <w:instrText xml:space="preserve"> </w:instrText>
      </w:r>
      <w:r>
        <w:instrText xml:space="preserve">HYPERLINK \l "_Toc192169721"</w:instrText>
      </w:r>
      <w:r>
        <w:rPr>
          <w:rStyle w:val="23"/>
        </w:rPr>
        <w:instrText xml:space="preserve"> </w:instrText>
      </w:r>
      <w:r>
        <w:rPr>
          <w:rStyle w:val="23"/>
        </w:rPr>
        <w:fldChar w:fldCharType="separate"/>
      </w:r>
      <w:r>
        <w:rPr>
          <w:rStyle w:val="23"/>
          <w:rFonts w:hint="eastAsia"/>
        </w:rPr>
        <w:t>九、其他说明事项</w:t>
      </w:r>
      <w:r>
        <w:tab/>
      </w:r>
      <w:r>
        <w:fldChar w:fldCharType="begin"/>
      </w:r>
      <w:r>
        <w:instrText xml:space="preserve"> PAGEREF _Toc192169721 \h </w:instrText>
      </w:r>
      <w:r>
        <w:fldChar w:fldCharType="separate"/>
      </w:r>
      <w:r>
        <w:t>14</w:t>
      </w:r>
      <w:r>
        <w:fldChar w:fldCharType="end"/>
      </w:r>
      <w:r>
        <w:rPr>
          <w:rStyle w:val="23"/>
        </w:rPr>
        <w:fldChar w:fldCharType="end"/>
      </w:r>
    </w:p>
    <w:p w14:paraId="7ECD0D26">
      <w:pPr>
        <w:snapToGrid w:val="0"/>
        <w:spacing w:line="360" w:lineRule="auto"/>
        <w:rPr>
          <w:b/>
          <w:bCs/>
          <w:lang w:val="zh-CN"/>
        </w:rPr>
      </w:pPr>
      <w:r>
        <w:rPr>
          <w:b/>
          <w:bCs/>
          <w:lang w:val="zh-CN"/>
        </w:rPr>
        <w:fldChar w:fldCharType="end"/>
      </w:r>
    </w:p>
    <w:p w14:paraId="6662A38E">
      <w:pPr>
        <w:rPr>
          <w:b/>
          <w:bCs/>
          <w:lang w:val="zh-CN"/>
        </w:rPr>
      </w:pPr>
      <w:r>
        <w:rPr>
          <w:b/>
          <w:bCs/>
          <w:lang w:val="zh-CN"/>
        </w:rPr>
        <w:br w:type="page"/>
      </w:r>
    </w:p>
    <w:p w14:paraId="57568260">
      <w:pPr>
        <w:snapToGrid w:val="0"/>
        <w:spacing w:line="360" w:lineRule="auto"/>
        <w:rPr>
          <w:rFonts w:hint="eastAsia"/>
          <w:b/>
          <w:bCs/>
          <w:lang w:val="zh-CN"/>
        </w:rPr>
      </w:pPr>
    </w:p>
    <w:p w14:paraId="25EBE4CC">
      <w:pPr>
        <w:snapToGrid w:val="0"/>
        <w:spacing w:line="360" w:lineRule="auto"/>
        <w:rPr>
          <w:rFonts w:hint="default" w:ascii="宋体" w:hAnsi="宋体" w:eastAsia="宋体" w:cs="Times New Roman"/>
          <w:b/>
          <w:sz w:val="28"/>
          <w:szCs w:val="28"/>
          <w:lang w:val="en-US" w:eastAsia="zh-CN"/>
        </w:rPr>
      </w:pPr>
      <w:r>
        <w:rPr>
          <w:rFonts w:hint="eastAsia" w:ascii="宋体" w:hAnsi="宋体" w:eastAsia="宋体" w:cs="Times New Roman"/>
          <w:b/>
          <w:sz w:val="28"/>
          <w:szCs w:val="28"/>
        </w:rPr>
        <w:t>一、</w:t>
      </w:r>
      <w:r>
        <w:rPr>
          <w:rFonts w:hint="eastAsia" w:ascii="宋体" w:hAnsi="宋体" w:eastAsia="宋体" w:cs="Times New Roman"/>
          <w:b/>
          <w:sz w:val="28"/>
          <w:szCs w:val="28"/>
          <w:lang w:val="en-US" w:eastAsia="zh-CN"/>
        </w:rPr>
        <w:t>标准编制工作简况</w:t>
      </w:r>
    </w:p>
    <w:p w14:paraId="0BE8D3B1">
      <w:pPr>
        <w:snapToGrid w:val="0"/>
        <w:spacing w:line="360" w:lineRule="auto"/>
        <w:ind w:firstLine="560" w:firstLineChars="200"/>
        <w:rPr>
          <w:rFonts w:hint="eastAsia"/>
          <w:sz w:val="28"/>
          <w:szCs w:val="28"/>
        </w:rPr>
      </w:pPr>
      <w:r>
        <w:rPr>
          <w:rFonts w:hint="eastAsia" w:ascii="宋体" w:hAnsi="宋体" w:eastAsia="宋体" w:cs="Times New Roman"/>
          <w:color w:val="000000"/>
          <w:sz w:val="28"/>
          <w:szCs w:val="28"/>
        </w:rPr>
        <w:t>本标准编制项目于202</w:t>
      </w:r>
      <w:r>
        <w:rPr>
          <w:rFonts w:ascii="宋体" w:hAnsi="宋体" w:eastAsia="宋体" w:cs="Times New Roman"/>
          <w:color w:val="000000"/>
          <w:sz w:val="28"/>
          <w:szCs w:val="28"/>
        </w:rPr>
        <w:t>4</w:t>
      </w:r>
      <w:r>
        <w:rPr>
          <w:rFonts w:hint="eastAsia" w:ascii="宋体" w:hAnsi="宋体" w:eastAsia="宋体" w:cs="Times New Roman"/>
          <w:color w:val="000000"/>
          <w:sz w:val="28"/>
          <w:szCs w:val="28"/>
        </w:rPr>
        <w:t>年0</w:t>
      </w:r>
      <w:r>
        <w:rPr>
          <w:rFonts w:ascii="宋体" w:hAnsi="宋体" w:eastAsia="宋体" w:cs="Times New Roman"/>
          <w:color w:val="000000"/>
          <w:sz w:val="28"/>
          <w:szCs w:val="28"/>
        </w:rPr>
        <w:t>7</w:t>
      </w:r>
      <w:r>
        <w:rPr>
          <w:rFonts w:hint="eastAsia" w:ascii="宋体" w:hAnsi="宋体" w:eastAsia="宋体" w:cs="Times New Roman"/>
          <w:color w:val="000000"/>
          <w:sz w:val="28"/>
          <w:szCs w:val="28"/>
        </w:rPr>
        <w:t>月2</w:t>
      </w:r>
      <w:r>
        <w:rPr>
          <w:rFonts w:ascii="宋体" w:hAnsi="宋体" w:eastAsia="宋体" w:cs="Times New Roman"/>
          <w:color w:val="000000"/>
          <w:sz w:val="28"/>
          <w:szCs w:val="28"/>
        </w:rPr>
        <w:t>2</w:t>
      </w:r>
      <w:r>
        <w:rPr>
          <w:rFonts w:hint="eastAsia" w:ascii="宋体" w:hAnsi="宋体" w:eastAsia="宋体" w:cs="Times New Roman"/>
          <w:color w:val="000000"/>
          <w:sz w:val="28"/>
          <w:szCs w:val="28"/>
        </w:rPr>
        <w:t>日由广东省中医药学会批准立项，立项公告参见粤中医药会字〔202</w:t>
      </w:r>
      <w:r>
        <w:rPr>
          <w:rFonts w:ascii="宋体" w:hAnsi="宋体" w:eastAsia="宋体" w:cs="Times New Roman"/>
          <w:color w:val="000000"/>
          <w:sz w:val="28"/>
          <w:szCs w:val="28"/>
        </w:rPr>
        <w:t>4</w:t>
      </w:r>
      <w:r>
        <w:rPr>
          <w:rFonts w:hint="eastAsia" w:ascii="宋体" w:hAnsi="宋体" w:eastAsia="宋体" w:cs="Times New Roman"/>
          <w:color w:val="000000"/>
          <w:sz w:val="28"/>
          <w:szCs w:val="28"/>
        </w:rPr>
        <w:t>〕2</w:t>
      </w:r>
      <w:r>
        <w:rPr>
          <w:rFonts w:ascii="宋体" w:hAnsi="宋体" w:eastAsia="宋体" w:cs="Times New Roman"/>
          <w:color w:val="000000"/>
          <w:sz w:val="28"/>
          <w:szCs w:val="28"/>
        </w:rPr>
        <w:t>8</w:t>
      </w:r>
      <w:r>
        <w:rPr>
          <w:rFonts w:hint="eastAsia" w:ascii="宋体" w:hAnsi="宋体" w:eastAsia="宋体" w:cs="Times New Roman"/>
          <w:color w:val="000000"/>
          <w:sz w:val="28"/>
          <w:szCs w:val="28"/>
        </w:rPr>
        <w:t>号文件。标准制定过程依据《广东省中医药学会团体标准管理办法（试行）》的规定开展。</w:t>
      </w:r>
      <w:r>
        <w:rPr>
          <w:rFonts w:hint="eastAsia"/>
          <w:sz w:val="28"/>
          <w:szCs w:val="28"/>
        </w:rPr>
        <w:t>粤港澳三地的单位共同参与标准起草，具体起草单位及分工如下：</w:t>
      </w:r>
    </w:p>
    <w:p w14:paraId="4D926076">
      <w:pPr>
        <w:snapToGrid w:val="0"/>
        <w:spacing w:line="360" w:lineRule="auto"/>
        <w:ind w:firstLine="560" w:firstLineChars="200"/>
        <w:rPr>
          <w:rFonts w:hint="eastAsia" w:ascii="宋体" w:hAnsi="宋体" w:eastAsia="宋体" w:cs="Times New Roman"/>
          <w:b w:val="0"/>
          <w:bCs/>
          <w:sz w:val="28"/>
          <w:szCs w:val="28"/>
          <w:lang w:eastAsia="zh-CN"/>
        </w:rPr>
      </w:pPr>
      <w:r>
        <w:rPr>
          <w:rFonts w:hint="eastAsia" w:ascii="宋体" w:hAnsi="宋体" w:eastAsia="宋体" w:cs="Times New Roman"/>
          <w:b w:val="0"/>
          <w:bCs/>
          <w:sz w:val="28"/>
          <w:szCs w:val="28"/>
        </w:rPr>
        <w:t>（一）起草单位</w:t>
      </w:r>
      <w:r>
        <w:rPr>
          <w:rFonts w:hint="eastAsia" w:ascii="宋体" w:hAnsi="宋体" w:eastAsia="宋体" w:cs="Times New Roman"/>
          <w:b w:val="0"/>
          <w:bCs/>
          <w:sz w:val="28"/>
          <w:szCs w:val="28"/>
          <w:lang w:eastAsia="zh-CN"/>
        </w:rPr>
        <w:t>：</w:t>
      </w:r>
    </w:p>
    <w:p w14:paraId="090933E4">
      <w:pPr>
        <w:snapToGrid w:val="0"/>
        <w:spacing w:line="360" w:lineRule="auto"/>
        <w:ind w:firstLine="560" w:firstLineChars="200"/>
        <w:rPr>
          <w:rFonts w:hint="eastAsia" w:ascii="宋体" w:hAnsi="宋体" w:eastAsia="宋体" w:cs="Times New Roman"/>
          <w:sz w:val="28"/>
          <w:szCs w:val="28"/>
        </w:rPr>
      </w:pP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、香港浸会大学、香港中医学会、香港中医循证诊疗及康复中心、澳门科技大学、广州医科大学附属第一医院、澳门镜湖医院、深圳市中医院、广东省中医</w:t>
      </w:r>
      <w:r>
        <w:rPr>
          <w:rFonts w:hint="eastAsia" w:ascii="宋体" w:hAnsi="宋体" w:eastAsia="宋体" w:cs="Times New Roman"/>
          <w:sz w:val="28"/>
          <w:szCs w:val="28"/>
          <w:lang w:val="en-US" w:eastAsia="zh-CN"/>
        </w:rPr>
        <w:t>药工程技术研究院</w:t>
      </w:r>
      <w:r>
        <w:rPr>
          <w:rFonts w:hint="eastAsia" w:ascii="宋体" w:hAnsi="宋体" w:eastAsia="宋体" w:cs="Times New Roman"/>
          <w:sz w:val="28"/>
          <w:szCs w:val="28"/>
        </w:rPr>
        <w:t>、江门市五邑中医院、广州中医药大学第一附属医院、珠海市中西医结合医院、中山市中医院、深圳市中西医结合医院、高州市中医院、梅州市中医医院、广州市番禺区中医院。</w:t>
      </w:r>
    </w:p>
    <w:p w14:paraId="3F19D782">
      <w:pPr>
        <w:snapToGrid w:val="0"/>
        <w:spacing w:line="360" w:lineRule="auto"/>
        <w:rPr>
          <w:rFonts w:hint="eastAsia" w:ascii="宋体" w:hAnsi="宋体" w:eastAsia="宋体" w:cs="Times New Roman"/>
          <w:b w:val="0"/>
          <w:bCs/>
          <w:sz w:val="28"/>
          <w:szCs w:val="28"/>
          <w:lang w:eastAsia="zh-CN"/>
        </w:rPr>
      </w:pPr>
      <w:r>
        <w:rPr>
          <w:rFonts w:hint="eastAsia" w:ascii="宋体" w:hAnsi="宋体" w:eastAsia="宋体" w:cs="Times New Roman"/>
          <w:b w:val="0"/>
          <w:bCs/>
          <w:sz w:val="28"/>
          <w:szCs w:val="28"/>
        </w:rPr>
        <w:t>（二）起草人员</w:t>
      </w:r>
      <w:r>
        <w:rPr>
          <w:rFonts w:hint="eastAsia" w:ascii="宋体" w:hAnsi="宋体" w:eastAsia="宋体" w:cs="Times New Roman"/>
          <w:b w:val="0"/>
          <w:bCs/>
          <w:sz w:val="28"/>
          <w:szCs w:val="28"/>
          <w:lang w:eastAsia="zh-CN"/>
        </w:rPr>
        <w:t>：</w:t>
      </w:r>
    </w:p>
    <w:p w14:paraId="46CDB858">
      <w:pPr>
        <w:snapToGrid w:val="0"/>
        <w:spacing w:line="360" w:lineRule="auto"/>
        <w:ind w:firstLine="560" w:firstLineChars="200"/>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rPr>
        <w:t>1.专家组</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由慢性呼吸衰竭中医诊疗领域的专家、中医慢病管理领域的专家共同组成。负责对标准的核心内容、工作方法及改进方向提供指导及专业咨询。</w:t>
      </w:r>
    </w:p>
    <w:p w14:paraId="009D13B9">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韩</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云</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4FBEA39F">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赖</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芳</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3FFA2109">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谢东平</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42AD0ABE">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张学斌</w:t>
      </w:r>
      <w:r>
        <w:rPr>
          <w:rFonts w:hint="eastAsia" w:ascii="宋体" w:hAnsi="宋体" w:eastAsia="宋体" w:cs="Times New Roman"/>
          <w:sz w:val="28"/>
          <w:szCs w:val="28"/>
          <w:lang w:val="en-US" w:eastAsia="zh-CN"/>
        </w:rPr>
        <w:t xml:space="preserve"> 香港浸会大学</w:t>
      </w:r>
    </w:p>
    <w:p w14:paraId="13604DF1">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汪慧敏</w:t>
      </w:r>
      <w:r>
        <w:rPr>
          <w:rFonts w:hint="eastAsia" w:ascii="宋体" w:hAnsi="宋体" w:eastAsia="宋体" w:cs="Times New Roman"/>
          <w:sz w:val="28"/>
          <w:szCs w:val="28"/>
          <w:lang w:val="en-US" w:eastAsia="zh-CN"/>
        </w:rPr>
        <w:t xml:space="preserve"> 香港中医学会</w:t>
      </w:r>
    </w:p>
    <w:p w14:paraId="0507274F">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徐大基</w:t>
      </w:r>
      <w:r>
        <w:rPr>
          <w:rFonts w:hint="eastAsia" w:ascii="宋体" w:hAnsi="宋体" w:eastAsia="宋体" w:cs="Times New Roman"/>
          <w:sz w:val="28"/>
          <w:szCs w:val="28"/>
          <w:lang w:val="en-US" w:eastAsia="zh-CN"/>
        </w:rPr>
        <w:t xml:space="preserve"> 香港中医循证诊疗及康复中心</w:t>
      </w:r>
    </w:p>
    <w:p w14:paraId="5DF5A803">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吴其标</w:t>
      </w:r>
      <w:r>
        <w:rPr>
          <w:rFonts w:hint="eastAsia" w:ascii="宋体" w:hAnsi="宋体" w:eastAsia="宋体" w:cs="Times New Roman"/>
          <w:sz w:val="28"/>
          <w:szCs w:val="28"/>
          <w:lang w:val="en-US" w:eastAsia="zh-CN"/>
        </w:rPr>
        <w:t xml:space="preserve"> 澳门科技大学</w:t>
      </w:r>
    </w:p>
    <w:p w14:paraId="07B4F60A">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徐永昊</w:t>
      </w:r>
      <w:r>
        <w:rPr>
          <w:rFonts w:hint="eastAsia" w:ascii="宋体" w:hAnsi="宋体" w:eastAsia="宋体" w:cs="Times New Roman"/>
          <w:sz w:val="28"/>
          <w:szCs w:val="28"/>
          <w:lang w:val="en-US" w:eastAsia="zh-CN"/>
        </w:rPr>
        <w:t xml:space="preserve"> 广州医科大学附属第一医院</w:t>
      </w:r>
    </w:p>
    <w:p w14:paraId="04A9CF74">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卢得健</w:t>
      </w:r>
      <w:r>
        <w:rPr>
          <w:rFonts w:hint="eastAsia" w:ascii="宋体" w:hAnsi="宋体" w:eastAsia="宋体" w:cs="Times New Roman"/>
          <w:sz w:val="28"/>
          <w:szCs w:val="28"/>
          <w:lang w:val="en-US" w:eastAsia="zh-CN"/>
        </w:rPr>
        <w:t xml:space="preserve"> 澳门镜湖医院</w:t>
      </w:r>
    </w:p>
    <w:p w14:paraId="112FAC5F">
      <w:pPr>
        <w:snapToGrid w:val="0"/>
        <w:spacing w:line="360" w:lineRule="auto"/>
        <w:ind w:firstLine="560" w:firstLineChars="200"/>
        <w:rPr>
          <w:rFonts w:hint="default" w:ascii="宋体" w:hAnsi="宋体" w:eastAsia="宋体" w:cs="Times New Roman"/>
          <w:sz w:val="28"/>
          <w:szCs w:val="28"/>
          <w:lang w:val="en-US" w:eastAsia="zh-CN"/>
        </w:rPr>
      </w:pPr>
      <w:r>
        <w:rPr>
          <w:rFonts w:hint="eastAsia" w:ascii="宋体" w:hAnsi="宋体" w:eastAsia="宋体" w:cs="Times New Roman"/>
          <w:sz w:val="28"/>
          <w:szCs w:val="28"/>
        </w:rPr>
        <w:t>陈</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生</w:t>
      </w:r>
      <w:r>
        <w:rPr>
          <w:rFonts w:hint="eastAsia" w:ascii="宋体" w:hAnsi="宋体" w:eastAsia="宋体" w:cs="Times New Roman"/>
          <w:sz w:val="28"/>
          <w:szCs w:val="28"/>
          <w:lang w:val="en-US" w:eastAsia="zh-CN"/>
        </w:rPr>
        <w:t xml:space="preserve">  深圳市中医院</w:t>
      </w:r>
    </w:p>
    <w:p w14:paraId="381C3A6D">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陆彦青</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w:t>
      </w:r>
      <w:r>
        <w:rPr>
          <w:rFonts w:hint="eastAsia" w:ascii="宋体" w:hAnsi="宋体" w:eastAsia="宋体" w:cs="Times New Roman"/>
          <w:sz w:val="28"/>
          <w:szCs w:val="28"/>
          <w:lang w:val="en-US" w:eastAsia="zh-CN"/>
        </w:rPr>
        <w:t>药工程技术研究院</w:t>
      </w:r>
    </w:p>
    <w:p w14:paraId="48178F72">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赵丽芸</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w:t>
      </w:r>
      <w:r>
        <w:rPr>
          <w:rFonts w:hint="eastAsia" w:ascii="宋体" w:hAnsi="宋体" w:eastAsia="宋体" w:cs="Times New Roman"/>
          <w:sz w:val="28"/>
          <w:szCs w:val="28"/>
          <w:lang w:val="en-US" w:eastAsia="zh-CN"/>
        </w:rPr>
        <w:t>药工程技术研究院</w:t>
      </w:r>
    </w:p>
    <w:p w14:paraId="6696A4E0">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范发才</w:t>
      </w:r>
      <w:r>
        <w:rPr>
          <w:rFonts w:hint="eastAsia" w:ascii="宋体" w:hAnsi="宋体" w:eastAsia="宋体" w:cs="Times New Roman"/>
          <w:sz w:val="28"/>
          <w:szCs w:val="28"/>
          <w:lang w:val="en-US" w:eastAsia="zh-CN"/>
        </w:rPr>
        <w:t xml:space="preserve"> 江门市五邑中医院</w:t>
      </w:r>
    </w:p>
    <w:p w14:paraId="540DAF1C">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李</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慧</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w:t>
      </w:r>
      <w:r>
        <w:rPr>
          <w:rFonts w:hint="eastAsia" w:ascii="宋体" w:hAnsi="宋体" w:eastAsia="宋体" w:cs="Times New Roman"/>
          <w:sz w:val="28"/>
          <w:szCs w:val="28"/>
          <w:lang w:val="en-US" w:eastAsia="zh-CN"/>
        </w:rPr>
        <w:t>药工程技术研究院</w:t>
      </w:r>
    </w:p>
    <w:p w14:paraId="45444DDF">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赵锋利</w:t>
      </w:r>
      <w:r>
        <w:rPr>
          <w:rFonts w:hint="eastAsia" w:ascii="宋体" w:hAnsi="宋体" w:eastAsia="宋体" w:cs="Times New Roman"/>
          <w:sz w:val="28"/>
          <w:szCs w:val="28"/>
          <w:lang w:val="en-US" w:eastAsia="zh-CN"/>
        </w:rPr>
        <w:t xml:space="preserve"> 广州中医药大学第一附属医院</w:t>
      </w:r>
    </w:p>
    <w:p w14:paraId="2B2D1A60">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吴巧媚</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38E486ED">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张</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燕</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 xml:space="preserve"> </w:t>
      </w:r>
    </w:p>
    <w:p w14:paraId="3CC7C571">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梁海龙</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3E8072C0">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吕渭辉</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67351C2B">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杨卫立</w:t>
      </w:r>
      <w:r>
        <w:rPr>
          <w:rFonts w:hint="eastAsia" w:ascii="宋体" w:hAnsi="宋体" w:eastAsia="宋体" w:cs="Times New Roman"/>
          <w:sz w:val="28"/>
          <w:szCs w:val="28"/>
          <w:lang w:val="en-US" w:eastAsia="zh-CN"/>
        </w:rPr>
        <w:t xml:space="preserve"> 珠海市中西医结合医院</w:t>
      </w:r>
    </w:p>
    <w:p w14:paraId="7CC40612">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黄振炎</w:t>
      </w:r>
      <w:r>
        <w:rPr>
          <w:rFonts w:hint="eastAsia" w:ascii="宋体" w:hAnsi="宋体" w:eastAsia="宋体" w:cs="Times New Roman"/>
          <w:sz w:val="28"/>
          <w:szCs w:val="28"/>
          <w:lang w:val="en-US" w:eastAsia="zh-CN"/>
        </w:rPr>
        <w:t xml:space="preserve"> 中山市中医院</w:t>
      </w:r>
    </w:p>
    <w:p w14:paraId="2E1095E4">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赖剑波</w:t>
      </w:r>
      <w:r>
        <w:rPr>
          <w:rFonts w:hint="eastAsia" w:ascii="宋体" w:hAnsi="宋体" w:eastAsia="宋体" w:cs="Times New Roman"/>
          <w:sz w:val="28"/>
          <w:szCs w:val="28"/>
          <w:lang w:val="en-US" w:eastAsia="zh-CN"/>
        </w:rPr>
        <w:t xml:space="preserve"> 深圳市中西医结合医院</w:t>
      </w:r>
    </w:p>
    <w:p w14:paraId="38F869CE">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莫健平</w:t>
      </w:r>
      <w:r>
        <w:rPr>
          <w:rFonts w:hint="eastAsia" w:ascii="宋体" w:hAnsi="宋体" w:eastAsia="宋体" w:cs="Times New Roman"/>
          <w:sz w:val="28"/>
          <w:szCs w:val="28"/>
          <w:lang w:val="en-US" w:eastAsia="zh-CN"/>
        </w:rPr>
        <w:t xml:space="preserve"> 高州市中医院</w:t>
      </w:r>
    </w:p>
    <w:p w14:paraId="53517832">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张</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俭</w:t>
      </w:r>
      <w:r>
        <w:rPr>
          <w:rFonts w:hint="eastAsia" w:ascii="宋体" w:hAnsi="宋体" w:eastAsia="宋体" w:cs="Times New Roman"/>
          <w:sz w:val="28"/>
          <w:szCs w:val="28"/>
          <w:lang w:val="en-US" w:eastAsia="zh-CN"/>
        </w:rPr>
        <w:t xml:space="preserve"> 梅州市中医医院</w:t>
      </w:r>
    </w:p>
    <w:p w14:paraId="7742735F">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雷佩珊</w:t>
      </w:r>
      <w:r>
        <w:rPr>
          <w:rFonts w:hint="eastAsia" w:ascii="宋体" w:hAnsi="宋体" w:eastAsia="宋体" w:cs="Times New Roman"/>
          <w:sz w:val="28"/>
          <w:szCs w:val="28"/>
          <w:lang w:val="en-US" w:eastAsia="zh-CN"/>
        </w:rPr>
        <w:t xml:space="preserve"> 广州市番禺区中医院</w:t>
      </w:r>
    </w:p>
    <w:p w14:paraId="23507825">
      <w:pPr>
        <w:snapToGrid w:val="0"/>
        <w:spacing w:line="360" w:lineRule="auto"/>
        <w:ind w:firstLine="560" w:firstLineChars="200"/>
        <w:jc w:val="left"/>
        <w:rPr>
          <w:rFonts w:hint="eastAsia" w:ascii="宋体" w:hAnsi="宋体" w:eastAsia="宋体" w:cs="Times New Roman"/>
          <w:sz w:val="28"/>
          <w:szCs w:val="28"/>
        </w:rPr>
      </w:pPr>
      <w:r>
        <w:rPr>
          <w:rFonts w:hint="eastAsia" w:ascii="宋体" w:hAnsi="宋体" w:eastAsia="宋体" w:cs="Times New Roman"/>
          <w:sz w:val="28"/>
          <w:szCs w:val="28"/>
          <w:lang w:val="en-US" w:eastAsia="zh-CN"/>
        </w:rPr>
        <w:t>2.</w:t>
      </w:r>
      <w:r>
        <w:rPr>
          <w:rFonts w:ascii="宋体" w:hAnsi="宋体" w:eastAsia="宋体" w:cs="Times New Roman"/>
          <w:sz w:val="28"/>
          <w:szCs w:val="28"/>
        </w:rPr>
        <w:t>工作组</w:t>
      </w:r>
      <w:r>
        <w:rPr>
          <w:rFonts w:hint="eastAsia" w:ascii="宋体" w:hAnsi="宋体" w:eastAsia="宋体" w:cs="Times New Roman"/>
          <w:sz w:val="28"/>
          <w:szCs w:val="28"/>
          <w:lang w:eastAsia="zh-CN"/>
        </w:rPr>
        <w:t>：</w:t>
      </w:r>
      <w:r>
        <w:rPr>
          <w:rFonts w:hint="eastAsia" w:ascii="宋体" w:hAnsi="宋体" w:eastAsia="宋体" w:cs="Times New Roman"/>
          <w:sz w:val="28"/>
          <w:szCs w:val="28"/>
        </w:rPr>
        <w:t>由</w:t>
      </w:r>
      <w:r>
        <w:rPr>
          <w:rFonts w:hint="eastAsia" w:ascii="宋体" w:hAnsi="宋体" w:eastAsia="宋体" w:cs="Times New Roman"/>
          <w:sz w:val="28"/>
          <w:szCs w:val="28"/>
          <w:lang w:val="en-US" w:eastAsia="zh-CN"/>
        </w:rPr>
        <w:t>具有慢性呼吸衰竭诊疗及中医膳食治疗工作经验的人员</w:t>
      </w:r>
      <w:r>
        <w:rPr>
          <w:rFonts w:ascii="宋体" w:hAnsi="宋体" w:eastAsia="宋体" w:cs="Times New Roman"/>
          <w:sz w:val="28"/>
          <w:szCs w:val="28"/>
        </w:rPr>
        <w:t>组成</w:t>
      </w:r>
      <w:r>
        <w:rPr>
          <w:rFonts w:hint="eastAsia" w:ascii="宋体" w:hAnsi="宋体" w:eastAsia="宋体" w:cs="Times New Roman"/>
          <w:sz w:val="28"/>
          <w:szCs w:val="28"/>
          <w:lang w:eastAsia="zh-CN"/>
        </w:rPr>
        <w:t>。</w:t>
      </w:r>
      <w:r>
        <w:rPr>
          <w:rFonts w:ascii="宋体" w:hAnsi="宋体" w:eastAsia="宋体" w:cs="Times New Roman"/>
          <w:sz w:val="28"/>
          <w:szCs w:val="28"/>
        </w:rPr>
        <w:t>负责</w:t>
      </w:r>
      <w:r>
        <w:rPr>
          <w:rFonts w:hint="eastAsia" w:ascii="宋体" w:hAnsi="宋体" w:eastAsia="宋体" w:cs="Times New Roman"/>
          <w:sz w:val="28"/>
          <w:szCs w:val="28"/>
          <w:lang w:val="en-US" w:eastAsia="zh-CN"/>
        </w:rPr>
        <w:t>标准编制各阶段的具体工作，包括但不限于</w:t>
      </w:r>
      <w:r>
        <w:rPr>
          <w:rFonts w:hint="eastAsia" w:ascii="宋体" w:hAnsi="宋体" w:eastAsia="宋体" w:cs="Times New Roman"/>
          <w:sz w:val="28"/>
          <w:szCs w:val="28"/>
        </w:rPr>
        <w:t>文献</w:t>
      </w:r>
      <w:r>
        <w:rPr>
          <w:rFonts w:ascii="宋体" w:hAnsi="宋体" w:eastAsia="宋体" w:cs="Times New Roman"/>
          <w:sz w:val="28"/>
          <w:szCs w:val="28"/>
        </w:rPr>
        <w:t>调研</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专家咨询、问卷调查、组织起草组研讨会、落实专家组意见、广泛征询意见、</w:t>
      </w:r>
      <w:r>
        <w:rPr>
          <w:rFonts w:ascii="宋体" w:hAnsi="宋体" w:eastAsia="宋体" w:cs="Times New Roman"/>
          <w:sz w:val="28"/>
          <w:szCs w:val="28"/>
        </w:rPr>
        <w:t>标准文稿</w:t>
      </w:r>
      <w:r>
        <w:rPr>
          <w:rFonts w:hint="eastAsia" w:ascii="宋体" w:hAnsi="宋体" w:eastAsia="宋体" w:cs="Times New Roman"/>
          <w:sz w:val="28"/>
          <w:szCs w:val="28"/>
          <w:lang w:val="en-US" w:eastAsia="zh-CN"/>
        </w:rPr>
        <w:t>的撰写及完善等</w:t>
      </w:r>
      <w:r>
        <w:rPr>
          <w:rFonts w:ascii="宋体" w:hAnsi="宋体" w:eastAsia="宋体" w:cs="Times New Roman"/>
          <w:sz w:val="28"/>
          <w:szCs w:val="28"/>
        </w:rPr>
        <w:t>。</w:t>
      </w:r>
    </w:p>
    <w:p w14:paraId="6D25E8A9">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韩</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云</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77F44A4D">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赖</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芳</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048F63D1">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谢东平</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68C9B9B4">
      <w:pPr>
        <w:numPr>
          <w:ilvl w:val="0"/>
          <w:numId w:val="0"/>
        </w:num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陈瑞兰</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17675A2F">
      <w:pPr>
        <w:numPr>
          <w:ilvl w:val="0"/>
          <w:numId w:val="0"/>
        </w:num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杨梓鸿</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63F8442B">
      <w:pPr>
        <w:numPr>
          <w:ilvl w:val="0"/>
          <w:numId w:val="0"/>
        </w:num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许欣筑</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650A061B">
      <w:pPr>
        <w:numPr>
          <w:ilvl w:val="0"/>
          <w:numId w:val="0"/>
        </w:num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范荣荣</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0FE8D871">
      <w:pPr>
        <w:numPr>
          <w:ilvl w:val="0"/>
          <w:numId w:val="0"/>
        </w:numPr>
        <w:snapToGrid w:val="0"/>
        <w:spacing w:line="360" w:lineRule="auto"/>
        <w:ind w:firstLine="560" w:firstLineChars="200"/>
        <w:rPr>
          <w:rFonts w:hint="eastAsia" w:ascii="宋体" w:hAnsi="宋体" w:eastAsia="宋体" w:cs="Times New Roman"/>
          <w:sz w:val="28"/>
          <w:szCs w:val="28"/>
          <w:lang w:eastAsia="zh-CN"/>
        </w:rPr>
      </w:pPr>
      <w:r>
        <w:rPr>
          <w:rFonts w:hint="eastAsia" w:ascii="宋体" w:hAnsi="宋体" w:eastAsia="宋体" w:cs="Times New Roman"/>
          <w:sz w:val="28"/>
          <w:szCs w:val="28"/>
        </w:rPr>
        <w:t>周耿标</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1E46579C">
      <w:pPr>
        <w:numPr>
          <w:ilvl w:val="0"/>
          <w:numId w:val="0"/>
        </w:num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 xml:space="preserve">麦舒桃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w:t>
      </w:r>
      <w:bookmarkStart w:id="5" w:name="_GoBack"/>
      <w:bookmarkEnd w:id="5"/>
      <w:r>
        <w:rPr>
          <w:rFonts w:hint="eastAsia" w:ascii="宋体" w:hAnsi="宋体" w:eastAsia="宋体" w:cs="Times New Roman"/>
          <w:sz w:val="28"/>
          <w:szCs w:val="28"/>
        </w:rPr>
        <w:t>学第二附属医院</w:t>
      </w:r>
      <w:r>
        <w:rPr>
          <w:rFonts w:hint="eastAsia" w:ascii="宋体" w:hAnsi="宋体" w:eastAsia="宋体" w:cs="Times New Roman"/>
          <w:sz w:val="28"/>
          <w:szCs w:val="28"/>
          <w:lang w:eastAsia="zh-CN"/>
        </w:rPr>
        <w:t>）</w:t>
      </w:r>
    </w:p>
    <w:p w14:paraId="275B1541">
      <w:pPr>
        <w:numPr>
          <w:ilvl w:val="0"/>
          <w:numId w:val="0"/>
        </w:numPr>
        <w:snapToGrid w:val="0"/>
        <w:spacing w:line="360" w:lineRule="auto"/>
        <w:ind w:firstLine="560" w:firstLineChars="200"/>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 xml:space="preserve">杜炯栋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6D93361C">
      <w:pPr>
        <w:numPr>
          <w:ilvl w:val="0"/>
          <w:numId w:val="0"/>
        </w:num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马世红</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23F16029">
      <w:pPr>
        <w:numPr>
          <w:ilvl w:val="0"/>
          <w:numId w:val="0"/>
        </w:num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郑雅芳</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4B2A685D">
      <w:pPr>
        <w:numPr>
          <w:ilvl w:val="0"/>
          <w:numId w:val="0"/>
        </w:num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蔡</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静</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0786C10E">
      <w:pPr>
        <w:numPr>
          <w:ilvl w:val="0"/>
          <w:numId w:val="0"/>
        </w:numPr>
        <w:snapToGrid w:val="0"/>
        <w:spacing w:line="360" w:lineRule="auto"/>
        <w:ind w:firstLine="560" w:firstLineChars="200"/>
        <w:rPr>
          <w:rFonts w:hint="eastAsia"/>
          <w:sz w:val="28"/>
          <w:szCs w:val="28"/>
        </w:rPr>
      </w:pPr>
      <w:r>
        <w:rPr>
          <w:rFonts w:hint="eastAsia" w:ascii="宋体" w:hAnsi="宋体" w:eastAsia="宋体" w:cs="Times New Roman"/>
          <w:sz w:val="28"/>
          <w:szCs w:val="28"/>
        </w:rPr>
        <w:t>张利娟</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广东省中医院</w:t>
      </w:r>
      <w:r>
        <w:rPr>
          <w:rFonts w:hint="eastAsia" w:ascii="宋体" w:hAnsi="宋体" w:eastAsia="宋体" w:cs="Times New Roman"/>
          <w:sz w:val="28"/>
          <w:szCs w:val="28"/>
          <w:lang w:eastAsia="zh-CN"/>
        </w:rPr>
        <w:t>（</w:t>
      </w:r>
      <w:r>
        <w:rPr>
          <w:rFonts w:hint="eastAsia" w:ascii="宋体" w:hAnsi="宋体" w:eastAsia="宋体" w:cs="Times New Roman"/>
          <w:sz w:val="28"/>
          <w:szCs w:val="28"/>
        </w:rPr>
        <w:t>广州中医药大学第二附属医院</w:t>
      </w:r>
      <w:r>
        <w:rPr>
          <w:rFonts w:hint="eastAsia" w:ascii="宋体" w:hAnsi="宋体" w:eastAsia="宋体" w:cs="Times New Roman"/>
          <w:sz w:val="28"/>
          <w:szCs w:val="28"/>
          <w:lang w:eastAsia="zh-CN"/>
        </w:rPr>
        <w:t>）</w:t>
      </w:r>
    </w:p>
    <w:p w14:paraId="237AED29">
      <w:pPr>
        <w:snapToGrid w:val="0"/>
        <w:spacing w:line="360" w:lineRule="auto"/>
        <w:rPr>
          <w:rFonts w:hint="default" w:ascii="宋体" w:hAnsi="宋体" w:eastAsia="宋体" w:cs="Times New Roman"/>
          <w:b/>
          <w:sz w:val="28"/>
          <w:szCs w:val="28"/>
          <w:lang w:val="en-US" w:eastAsia="zh-CN"/>
        </w:rPr>
      </w:pPr>
      <w:r>
        <w:rPr>
          <w:rFonts w:hint="eastAsia" w:ascii="宋体" w:hAnsi="宋体" w:eastAsia="宋体" w:cs="Times New Roman"/>
          <w:b/>
          <w:sz w:val="28"/>
          <w:szCs w:val="28"/>
        </w:rPr>
        <w:t>二、</w:t>
      </w:r>
      <w:r>
        <w:rPr>
          <w:rFonts w:hint="eastAsia" w:ascii="宋体" w:hAnsi="宋体" w:eastAsia="宋体" w:cs="Times New Roman"/>
          <w:b/>
          <w:sz w:val="28"/>
          <w:szCs w:val="28"/>
          <w:lang w:val="en-US" w:eastAsia="zh-CN"/>
        </w:rPr>
        <w:t>标准立项的必要性</w:t>
      </w:r>
    </w:p>
    <w:p w14:paraId="536C84A9">
      <w:pPr>
        <w:snapToGrid w:val="0"/>
        <w:spacing w:line="360" w:lineRule="auto"/>
        <w:rPr>
          <w:rFonts w:hint="eastAsia" w:ascii="宋体" w:hAnsi="宋体" w:eastAsia="宋体" w:cs="Times New Roman"/>
          <w:b/>
          <w:bCs w:val="0"/>
          <w:sz w:val="28"/>
          <w:szCs w:val="28"/>
          <w:lang w:val="en-US" w:eastAsia="zh-CN"/>
        </w:rPr>
      </w:pPr>
      <w:r>
        <w:rPr>
          <w:rFonts w:hint="eastAsia" w:ascii="宋体" w:hAnsi="宋体" w:eastAsia="宋体" w:cs="Times New Roman"/>
          <w:b/>
          <w:bCs w:val="0"/>
          <w:sz w:val="28"/>
          <w:szCs w:val="28"/>
        </w:rPr>
        <w:t>（一）</w:t>
      </w:r>
      <w:r>
        <w:rPr>
          <w:rFonts w:hint="eastAsia" w:ascii="宋体" w:hAnsi="宋体" w:eastAsia="宋体" w:cs="Times New Roman"/>
          <w:b/>
          <w:bCs w:val="0"/>
          <w:sz w:val="28"/>
          <w:szCs w:val="28"/>
          <w:lang w:val="en-US" w:eastAsia="zh-CN"/>
        </w:rPr>
        <w:t>家庭中医膳食治疗对慢性呼吸衰竭患者的重要性。</w:t>
      </w:r>
    </w:p>
    <w:p w14:paraId="54D77225">
      <w:pPr>
        <w:pStyle w:val="29"/>
        <w:spacing w:line="300" w:lineRule="auto"/>
        <w:ind w:firstLine="420"/>
        <w:rPr>
          <w:rFonts w:hint="eastAsia" w:ascii="宋体" w:hAnsi="宋体" w:eastAsia="宋体" w:cs="Times New Roman"/>
          <w:color w:val="000000"/>
          <w:sz w:val="28"/>
          <w:szCs w:val="28"/>
        </w:rPr>
      </w:pPr>
      <w:r>
        <w:rPr>
          <w:rFonts w:hint="eastAsia" w:ascii="宋体" w:hAnsi="宋体" w:eastAsia="宋体" w:cs="Times New Roman"/>
          <w:b w:val="0"/>
          <w:bCs/>
          <w:kern w:val="2"/>
          <w:sz w:val="28"/>
          <w:szCs w:val="28"/>
          <w:lang w:val="en-US" w:eastAsia="zh-CN" w:bidi="ar-SA"/>
        </w:rPr>
        <w:t>慢性呼吸衰竭可严重影响患者的生命质量，并给家庭及社会带来沉重的经济负担。慢性呼吸衰竭患者处于高分解代谢状态，常合并营养不良，营养不良与住院时间、并发症风险、病死率的增加</w:t>
      </w:r>
      <w:r>
        <w:rPr>
          <w:rFonts w:hint="eastAsia" w:hAnsi="宋体" w:cs="Times New Roman"/>
          <w:b w:val="0"/>
          <w:bCs/>
          <w:kern w:val="2"/>
          <w:sz w:val="28"/>
          <w:szCs w:val="28"/>
          <w:lang w:val="en-US" w:eastAsia="zh-CN" w:bidi="ar-SA"/>
        </w:rPr>
        <w:t>成</w:t>
      </w:r>
      <w:r>
        <w:rPr>
          <w:rFonts w:hint="eastAsia" w:ascii="宋体" w:hAnsi="宋体" w:eastAsia="宋体" w:cs="Times New Roman"/>
          <w:b w:val="0"/>
          <w:bCs/>
          <w:kern w:val="2"/>
          <w:sz w:val="28"/>
          <w:szCs w:val="28"/>
          <w:lang w:val="en-US" w:eastAsia="zh-CN" w:bidi="ar-SA"/>
        </w:rPr>
        <w:t>正相关</w:t>
      </w:r>
      <w:r>
        <w:rPr>
          <w:rFonts w:hint="eastAsia" w:hAnsi="宋体" w:cs="Times New Roman"/>
          <w:b w:val="0"/>
          <w:bCs/>
          <w:kern w:val="2"/>
          <w:sz w:val="28"/>
          <w:szCs w:val="28"/>
          <w:lang w:val="en-US" w:eastAsia="zh-CN" w:bidi="ar-SA"/>
        </w:rPr>
        <w:t>关系</w:t>
      </w:r>
      <w:r>
        <w:rPr>
          <w:rFonts w:hint="eastAsia" w:ascii="宋体" w:hAnsi="宋体" w:eastAsia="宋体" w:cs="Times New Roman"/>
          <w:b w:val="0"/>
          <w:bCs/>
          <w:kern w:val="2"/>
          <w:sz w:val="28"/>
          <w:szCs w:val="28"/>
          <w:lang w:val="en-US" w:eastAsia="zh-CN" w:bidi="ar-SA"/>
        </w:rPr>
        <w:t>。</w:t>
      </w:r>
      <w:r>
        <w:rPr>
          <w:rFonts w:hint="eastAsia" w:hAnsi="宋体" w:cs="Times New Roman"/>
          <w:b w:val="0"/>
          <w:bCs/>
          <w:kern w:val="2"/>
          <w:sz w:val="28"/>
          <w:szCs w:val="28"/>
          <w:lang w:val="en-US" w:eastAsia="zh-CN" w:bidi="ar-SA"/>
        </w:rPr>
        <w:t>对</w:t>
      </w:r>
      <w:r>
        <w:rPr>
          <w:rFonts w:hint="eastAsia" w:ascii="宋体" w:hAnsi="宋体" w:eastAsia="宋体" w:cs="Times New Roman"/>
          <w:color w:val="000000"/>
          <w:sz w:val="28"/>
          <w:szCs w:val="28"/>
        </w:rPr>
        <w:t>此类肺病</w:t>
      </w:r>
      <w:r>
        <w:rPr>
          <w:rFonts w:hint="eastAsia" w:hAnsi="宋体" w:cs="Times New Roman"/>
          <w:color w:val="000000"/>
          <w:sz w:val="28"/>
          <w:szCs w:val="28"/>
          <w:lang w:eastAsia="zh-CN"/>
        </w:rPr>
        <w:t>，</w:t>
      </w:r>
      <w:r>
        <w:rPr>
          <w:rFonts w:hint="eastAsia" w:hAnsi="宋体" w:cs="Times New Roman"/>
          <w:color w:val="000000"/>
          <w:sz w:val="28"/>
          <w:szCs w:val="28"/>
          <w:lang w:val="en-US" w:eastAsia="zh-CN"/>
        </w:rPr>
        <w:t>中医强调</w:t>
      </w:r>
      <w:r>
        <w:rPr>
          <w:rFonts w:hint="eastAsia" w:ascii="宋体" w:hAnsi="宋体" w:eastAsia="宋体" w:cs="Times New Roman"/>
          <w:color w:val="000000"/>
          <w:sz w:val="28"/>
          <w:szCs w:val="28"/>
        </w:rPr>
        <w:t>“发时疏风宣肺，平时固本培元”</w:t>
      </w:r>
      <w:r>
        <w:rPr>
          <w:rFonts w:hint="eastAsia" w:hAnsi="宋体" w:cs="Times New Roman"/>
          <w:color w:val="000000"/>
          <w:sz w:val="28"/>
          <w:szCs w:val="28"/>
          <w:lang w:eastAsia="zh-CN"/>
        </w:rPr>
        <w:t>，</w:t>
      </w:r>
      <w:r>
        <w:rPr>
          <w:rFonts w:hint="eastAsia" w:ascii="宋体" w:hAnsi="宋体" w:eastAsia="宋体" w:cs="Times New Roman"/>
          <w:color w:val="000000"/>
          <w:sz w:val="28"/>
          <w:szCs w:val="28"/>
        </w:rPr>
        <w:t>倡导寓调于补、调补兼施。家庭中医膳食治疗无疑是实践该理念不可或缺的环节。</w:t>
      </w:r>
    </w:p>
    <w:p w14:paraId="70BA9C18">
      <w:pPr>
        <w:pStyle w:val="29"/>
        <w:spacing w:line="300" w:lineRule="auto"/>
        <w:ind w:firstLine="420"/>
        <w:rPr>
          <w:rFonts w:hint="eastAsia" w:ascii="宋体" w:hAnsi="宋体" w:eastAsia="宋体" w:cs="Times New Roman"/>
          <w:b w:val="0"/>
          <w:bCs/>
          <w:kern w:val="2"/>
          <w:sz w:val="28"/>
          <w:szCs w:val="28"/>
          <w:lang w:val="en-US" w:eastAsia="zh-CN" w:bidi="ar-SA"/>
        </w:rPr>
      </w:pPr>
      <w:r>
        <w:rPr>
          <w:rFonts w:hint="eastAsia" w:ascii="宋体" w:hAnsi="宋体" w:eastAsia="宋体" w:cs="Times New Roman"/>
          <w:color w:val="000000"/>
          <w:sz w:val="28"/>
          <w:szCs w:val="28"/>
        </w:rPr>
        <w:t>系列研究表明，基于辨证的中医膳食治疗不仅可以改善</w:t>
      </w:r>
      <w:r>
        <w:rPr>
          <w:rFonts w:hint="eastAsia" w:hAnsi="宋体" w:cs="Times New Roman"/>
          <w:color w:val="000000"/>
          <w:sz w:val="28"/>
          <w:szCs w:val="28"/>
          <w:lang w:val="en-US" w:eastAsia="zh-CN"/>
        </w:rPr>
        <w:t>慢性呼吸衰竭</w:t>
      </w:r>
      <w:r>
        <w:rPr>
          <w:rFonts w:hint="eastAsia" w:ascii="宋体" w:hAnsi="宋体" w:eastAsia="宋体" w:cs="Times New Roman"/>
          <w:color w:val="000000"/>
          <w:sz w:val="28"/>
          <w:szCs w:val="28"/>
        </w:rPr>
        <w:t xml:space="preserve">患者的营养状态，还有助于改善患者肺功能、减少住院次数，对肺康复等治疗亦有协同作用，值得进一步推广。 </w:t>
      </w:r>
    </w:p>
    <w:p w14:paraId="699F2E18">
      <w:pPr>
        <w:numPr>
          <w:ilvl w:val="0"/>
          <w:numId w:val="2"/>
        </w:numPr>
        <w:snapToGrid w:val="0"/>
        <w:spacing w:line="360" w:lineRule="auto"/>
        <w:rPr>
          <w:rFonts w:hint="eastAsia" w:ascii="宋体" w:hAnsi="宋体" w:eastAsia="宋体" w:cs="Times New Roman"/>
          <w:b/>
          <w:bCs w:val="0"/>
          <w:sz w:val="28"/>
          <w:szCs w:val="28"/>
          <w:lang w:val="en-US" w:eastAsia="zh-CN"/>
        </w:rPr>
      </w:pPr>
      <w:r>
        <w:rPr>
          <w:rFonts w:hint="eastAsia" w:ascii="宋体" w:hAnsi="宋体" w:eastAsia="宋体" w:cs="Times New Roman"/>
          <w:b/>
          <w:bCs w:val="0"/>
          <w:sz w:val="28"/>
          <w:szCs w:val="28"/>
          <w:lang w:val="en-US" w:eastAsia="zh-CN"/>
        </w:rPr>
        <w:t>在岭南地区开展家庭中医膳食治疗的可行性及风险。</w:t>
      </w:r>
    </w:p>
    <w:p w14:paraId="290D9835">
      <w:pPr>
        <w:pStyle w:val="29"/>
        <w:spacing w:line="300" w:lineRule="auto"/>
        <w:ind w:firstLine="420"/>
        <w:rPr>
          <w:rFonts w:hint="eastAsia" w:ascii="宋体" w:hAnsi="宋体" w:eastAsia="宋体" w:cs="Times New Roman"/>
          <w:b w:val="0"/>
          <w:bCs/>
          <w:kern w:val="2"/>
          <w:sz w:val="28"/>
          <w:szCs w:val="28"/>
          <w:lang w:val="en-US" w:eastAsia="zh-CN" w:bidi="ar-SA"/>
        </w:rPr>
      </w:pPr>
      <w:r>
        <w:rPr>
          <w:rFonts w:hint="eastAsia" w:ascii="宋体" w:hAnsi="宋体" w:eastAsia="宋体" w:cs="Times New Roman"/>
          <w:b w:val="0"/>
          <w:bCs/>
          <w:kern w:val="2"/>
          <w:sz w:val="28"/>
          <w:szCs w:val="28"/>
          <w:lang w:val="en-US" w:eastAsia="zh-CN" w:bidi="ar-SA"/>
        </w:rPr>
        <w:t>岭南地区药膳原料丰富、不少食材兼具药用价值，且群众对药膳治疗接受度高，早已形成了以药膳汤、保健茶（凉茶）为特色的饮食文化，在岭南地区慢性呼吸衰竭患者中实行中医膳食治疗可行性较强。但民众对自身体质、中药特性、药物配伍等的认知判断难免存在偏颇，盲目摄入这些特色饮食</w:t>
      </w:r>
      <w:r>
        <w:rPr>
          <w:rFonts w:hint="eastAsia" w:ascii="宋体" w:hAnsi="宋体" w:eastAsia="宋体" w:cs="Times New Roman"/>
          <w:color w:val="000000"/>
          <w:sz w:val="28"/>
          <w:szCs w:val="28"/>
        </w:rPr>
        <w:t>不仅会增加慢性呼吸衰竭患者的胃肠道负担，也会有加重病情的风险</w:t>
      </w:r>
      <w:r>
        <w:rPr>
          <w:rFonts w:hint="eastAsia" w:ascii="宋体" w:hAnsi="宋体" w:eastAsia="宋体" w:cs="Times New Roman"/>
          <w:b w:val="0"/>
          <w:bCs/>
          <w:kern w:val="2"/>
          <w:sz w:val="28"/>
          <w:szCs w:val="28"/>
          <w:lang w:val="en-US" w:eastAsia="zh-CN" w:bidi="ar-SA"/>
        </w:rPr>
        <w:t>，需要医护人员进行规范引导。</w:t>
      </w:r>
    </w:p>
    <w:p w14:paraId="2D49F83C">
      <w:pPr>
        <w:numPr>
          <w:ilvl w:val="0"/>
          <w:numId w:val="2"/>
        </w:numPr>
        <w:snapToGrid w:val="0"/>
        <w:spacing w:line="360" w:lineRule="auto"/>
        <w:ind w:left="0" w:leftChars="0" w:firstLine="0" w:firstLineChars="0"/>
        <w:rPr>
          <w:rFonts w:hint="eastAsia" w:ascii="宋体" w:hAnsi="宋体" w:eastAsia="宋体" w:cs="Times New Roman"/>
          <w:b/>
          <w:bCs w:val="0"/>
          <w:sz w:val="28"/>
          <w:szCs w:val="28"/>
          <w:lang w:val="en-US" w:eastAsia="zh-CN"/>
        </w:rPr>
      </w:pPr>
      <w:r>
        <w:rPr>
          <w:rFonts w:hint="eastAsia" w:ascii="宋体" w:hAnsi="宋体" w:eastAsia="宋体" w:cs="Times New Roman"/>
          <w:b/>
          <w:bCs w:val="0"/>
          <w:sz w:val="28"/>
          <w:szCs w:val="28"/>
          <w:lang w:val="en-US" w:eastAsia="zh-CN"/>
        </w:rPr>
        <w:t>原有标准存在一些不足，有改进空间。</w:t>
      </w:r>
    </w:p>
    <w:p w14:paraId="3685BE0F">
      <w:pPr>
        <w:snapToGrid w:val="0"/>
        <w:spacing w:line="360" w:lineRule="auto"/>
        <w:ind w:firstLine="560" w:firstLineChars="200"/>
        <w:rPr>
          <w:rFonts w:hint="eastAsia" w:ascii="宋体" w:hAnsi="宋体" w:eastAsia="宋体" w:cs="Times New Roman"/>
          <w:color w:val="000000"/>
          <w:sz w:val="28"/>
          <w:szCs w:val="28"/>
        </w:rPr>
      </w:pPr>
      <w:r>
        <w:rPr>
          <w:rFonts w:hint="eastAsia" w:ascii="宋体" w:hAnsi="宋体" w:eastAsia="宋体" w:cs="Times New Roman"/>
          <w:b w:val="0"/>
          <w:bCs/>
          <w:kern w:val="2"/>
          <w:sz w:val="28"/>
          <w:szCs w:val="28"/>
          <w:lang w:val="en-US" w:eastAsia="zh-CN" w:bidi="ar-SA"/>
        </w:rPr>
        <w:t>在国家大力发展中医药的大背景下，</w:t>
      </w:r>
      <w:r>
        <w:rPr>
          <w:rFonts w:hint="eastAsia" w:hAnsi="宋体" w:cs="Times New Roman"/>
          <w:b w:val="0"/>
          <w:bCs/>
          <w:kern w:val="2"/>
          <w:sz w:val="28"/>
          <w:szCs w:val="28"/>
          <w:lang w:val="en-US" w:eastAsia="zh-CN" w:bidi="ar-SA"/>
        </w:rPr>
        <w:t>《粤港澳大湾区发展规划纲要》明确提出了“塑造健康湾区”、“深化中医药领域合作”、“推进中医药标准化、国际化”的目标。为响应号召，团队率先发布了</w:t>
      </w:r>
      <w:r>
        <w:rPr>
          <w:rFonts w:hint="eastAsia" w:ascii="宋体" w:hAnsi="宋体" w:eastAsia="宋体" w:cs="Times New Roman"/>
          <w:color w:val="000000"/>
          <w:sz w:val="28"/>
          <w:szCs w:val="28"/>
          <w:lang w:val="en-US" w:eastAsia="zh-CN"/>
        </w:rPr>
        <w:t>T/GDACM 0123-2024</w:t>
      </w:r>
      <w:r>
        <w:rPr>
          <w:rFonts w:hint="eastAsia" w:hAnsi="宋体" w:cs="Times New Roman"/>
          <w:b w:val="0"/>
          <w:bCs/>
          <w:kern w:val="2"/>
          <w:sz w:val="28"/>
          <w:szCs w:val="28"/>
          <w:lang w:val="en-US" w:eastAsia="zh-CN" w:bidi="ar-SA"/>
        </w:rPr>
        <w:t>《岭南地区慢性呼吸衰竭中医健康膳食指南》，在患者评估、中医膳食推荐、膳食宣教、患者依从性管理等方面提供了推荐意见，供岭南地区从事慢性呼吸衰竭患者照护的医护人员指导患者及其亲友实施家庭中医膳食治疗时使用。在推广标准的过程中，虽然</w:t>
      </w:r>
      <w:r>
        <w:rPr>
          <w:rFonts w:hint="eastAsia" w:ascii="宋体" w:hAnsi="宋体" w:eastAsia="宋体" w:cs="Times New Roman"/>
          <w:b w:val="0"/>
          <w:bCs/>
          <w:kern w:val="2"/>
          <w:sz w:val="28"/>
          <w:szCs w:val="28"/>
          <w:lang w:val="en-US" w:eastAsia="zh-CN" w:bidi="ar-SA"/>
        </w:rPr>
        <w:t>获得了粤港澳大湾区同行的广泛认可，</w:t>
      </w:r>
      <w:r>
        <w:rPr>
          <w:rFonts w:hint="eastAsia" w:hAnsi="宋体" w:cs="Times New Roman"/>
          <w:b w:val="0"/>
          <w:bCs/>
          <w:kern w:val="2"/>
          <w:sz w:val="28"/>
          <w:szCs w:val="28"/>
          <w:lang w:val="en-US" w:eastAsia="zh-CN" w:bidi="ar-SA"/>
        </w:rPr>
        <w:t>但也发现了一些不足，如部分食材较为昂贵稀有、部分药膳制作过程较为繁琐等等。</w:t>
      </w:r>
      <w:r>
        <w:rPr>
          <w:rFonts w:hint="eastAsia" w:ascii="宋体" w:hAnsi="宋体" w:eastAsia="宋体" w:cs="Times New Roman"/>
          <w:color w:val="000000"/>
          <w:sz w:val="28"/>
          <w:szCs w:val="28"/>
        </w:rPr>
        <w:t>为使岭南地区慢性呼吸衰竭患者更多获益，</w:t>
      </w:r>
      <w:r>
        <w:rPr>
          <w:rFonts w:hint="eastAsia" w:hAnsi="宋体" w:cs="Times New Roman"/>
          <w:color w:val="000000"/>
          <w:sz w:val="28"/>
          <w:szCs w:val="28"/>
          <w:lang w:val="en-US" w:eastAsia="zh-CN"/>
        </w:rPr>
        <w:t>团队特此展开标准修订工作，以</w:t>
      </w:r>
      <w:r>
        <w:rPr>
          <w:rFonts w:hint="eastAsia" w:ascii="宋体" w:hAnsi="宋体" w:eastAsia="宋体" w:cs="Times New Roman"/>
          <w:color w:val="000000"/>
          <w:sz w:val="28"/>
          <w:szCs w:val="28"/>
        </w:rPr>
        <w:t>提高标准内容的科学性、</w:t>
      </w:r>
      <w:r>
        <w:rPr>
          <w:rFonts w:hint="eastAsia" w:ascii="宋体" w:hAnsi="宋体" w:eastAsia="宋体" w:cs="Times New Roman"/>
          <w:color w:val="000000"/>
          <w:sz w:val="28"/>
          <w:szCs w:val="28"/>
          <w:lang w:val="en-US" w:eastAsia="zh-CN"/>
        </w:rPr>
        <w:t>规范性、</w:t>
      </w:r>
      <w:r>
        <w:rPr>
          <w:rFonts w:hint="eastAsia" w:ascii="宋体" w:hAnsi="宋体" w:eastAsia="宋体" w:cs="Times New Roman"/>
          <w:color w:val="000000"/>
          <w:sz w:val="28"/>
          <w:szCs w:val="28"/>
        </w:rPr>
        <w:t>普适性、可操作性。</w:t>
      </w:r>
    </w:p>
    <w:p w14:paraId="63AB3AB1">
      <w:pPr>
        <w:snapToGrid w:val="0"/>
        <w:spacing w:line="360" w:lineRule="auto"/>
        <w:rPr>
          <w:rFonts w:hint="eastAsia" w:ascii="宋体" w:hAnsi="宋体" w:eastAsia="宋体" w:cs="Times New Roman"/>
          <w:b/>
          <w:sz w:val="28"/>
          <w:szCs w:val="28"/>
        </w:rPr>
      </w:pPr>
      <w:bookmarkStart w:id="0" w:name="_Toc192169706"/>
      <w:r>
        <w:rPr>
          <w:rFonts w:hint="eastAsia" w:ascii="宋体" w:hAnsi="宋体" w:eastAsia="宋体" w:cs="Times New Roman"/>
          <w:b/>
          <w:sz w:val="28"/>
          <w:szCs w:val="28"/>
        </w:rPr>
        <w:t>三、标准编制原则、主要内容及其确定依据</w:t>
      </w:r>
      <w:bookmarkEnd w:id="0"/>
    </w:p>
    <w:p w14:paraId="3D7F9691">
      <w:pPr>
        <w:pStyle w:val="3"/>
      </w:pPr>
      <w:bookmarkStart w:id="1" w:name="_Toc192169707"/>
      <w:r>
        <w:t>（一）标准编制原则</w:t>
      </w:r>
      <w:bookmarkEnd w:id="1"/>
    </w:p>
    <w:p w14:paraId="75E2A733">
      <w:pPr>
        <w:snapToGrid w:val="0"/>
        <w:spacing w:line="360" w:lineRule="auto"/>
        <w:ind w:firstLine="560" w:firstLineChars="200"/>
        <w:rPr>
          <w:rFonts w:ascii="宋体" w:hAnsi="宋体" w:eastAsia="宋体" w:cs="Times New Roman"/>
          <w:sz w:val="28"/>
          <w:szCs w:val="28"/>
        </w:rPr>
      </w:pPr>
      <w:r>
        <w:rPr>
          <w:rFonts w:hint="eastAsia" w:ascii="宋体" w:hAnsi="宋体" w:eastAsia="宋体" w:cs="Times New Roman"/>
          <w:sz w:val="28"/>
          <w:szCs w:val="28"/>
          <w:lang w:val="en-US" w:eastAsia="zh-CN"/>
        </w:rPr>
        <w:t>本标准基于粤港澳大湾区的现行法律及规范，依照</w:t>
      </w:r>
      <w:r>
        <w:rPr>
          <w:rFonts w:hint="eastAsia" w:ascii="宋体" w:hAnsi="宋体" w:eastAsia="宋体" w:cs="Times New Roman"/>
          <w:sz w:val="28"/>
          <w:szCs w:val="28"/>
        </w:rPr>
        <w:t>GB/T 1.1—2020《标准化工作导则第1部分：标准化文件的结构和起草规则》的规定</w:t>
      </w:r>
      <w:r>
        <w:rPr>
          <w:rFonts w:ascii="宋体" w:hAnsi="宋体" w:eastAsia="宋体" w:cs="Times New Roman"/>
          <w:sz w:val="28"/>
          <w:szCs w:val="28"/>
        </w:rPr>
        <w:t>，综合既往岭</w:t>
      </w:r>
      <w:r>
        <w:rPr>
          <w:rFonts w:hint="eastAsia" w:ascii="宋体" w:hAnsi="宋体" w:eastAsia="宋体" w:cs="Times New Roman"/>
          <w:sz w:val="28"/>
          <w:szCs w:val="28"/>
        </w:rPr>
        <w:t>南</w:t>
      </w:r>
      <w:r>
        <w:rPr>
          <w:rFonts w:hint="eastAsia" w:ascii="宋体" w:hAnsi="宋体" w:eastAsia="宋体" w:cs="Times New Roman"/>
          <w:sz w:val="28"/>
          <w:szCs w:val="28"/>
          <w:lang w:val="en-US" w:eastAsia="zh-CN"/>
        </w:rPr>
        <w:t>地区</w:t>
      </w:r>
      <w:r>
        <w:rPr>
          <w:rFonts w:hint="eastAsia" w:ascii="宋体" w:hAnsi="宋体" w:eastAsia="宋体" w:cs="Times New Roman"/>
          <w:sz w:val="28"/>
          <w:szCs w:val="28"/>
        </w:rPr>
        <w:t>慢性呼吸衰竭</w:t>
      </w:r>
      <w:r>
        <w:rPr>
          <w:rFonts w:ascii="宋体" w:hAnsi="宋体" w:eastAsia="宋体" w:cs="Times New Roman"/>
          <w:sz w:val="28"/>
          <w:szCs w:val="28"/>
        </w:rPr>
        <w:t>中医健康膳食管理工作的经验</w:t>
      </w:r>
      <w:r>
        <w:rPr>
          <w:rFonts w:hint="eastAsia" w:ascii="宋体" w:hAnsi="宋体" w:eastAsia="宋体" w:cs="Times New Roman"/>
          <w:sz w:val="28"/>
          <w:szCs w:val="28"/>
        </w:rPr>
        <w:t>、现有</w:t>
      </w:r>
      <w:r>
        <w:rPr>
          <w:rFonts w:hint="eastAsia" w:ascii="宋体" w:hAnsi="宋体" w:eastAsia="宋体" w:cs="Times New Roman"/>
          <w:sz w:val="28"/>
          <w:szCs w:val="28"/>
          <w:lang w:val="en-US" w:eastAsia="zh-CN"/>
        </w:rPr>
        <w:t>文献</w:t>
      </w:r>
      <w:r>
        <w:rPr>
          <w:rFonts w:hint="eastAsia" w:ascii="宋体" w:hAnsi="宋体" w:eastAsia="宋体" w:cs="Times New Roman"/>
          <w:sz w:val="28"/>
          <w:szCs w:val="28"/>
        </w:rPr>
        <w:t>著作</w:t>
      </w:r>
      <w:r>
        <w:rPr>
          <w:rFonts w:hint="eastAsia" w:ascii="宋体" w:hAnsi="宋体" w:eastAsia="宋体" w:cs="Times New Roman"/>
          <w:sz w:val="28"/>
          <w:szCs w:val="28"/>
          <w:lang w:val="en-US" w:eastAsia="zh-CN"/>
        </w:rPr>
        <w:t>及</w:t>
      </w:r>
      <w:r>
        <w:rPr>
          <w:rFonts w:ascii="宋体" w:hAnsi="宋体" w:eastAsia="宋体" w:cs="Times New Roman"/>
          <w:sz w:val="28"/>
          <w:szCs w:val="28"/>
        </w:rPr>
        <w:t>相关专业专家意见，明确</w:t>
      </w:r>
      <w:r>
        <w:rPr>
          <w:rFonts w:hint="eastAsia" w:ascii="宋体" w:hAnsi="宋体" w:eastAsia="宋体" w:cs="Times New Roman"/>
          <w:sz w:val="28"/>
          <w:szCs w:val="28"/>
          <w:lang w:val="en-US" w:eastAsia="zh-CN"/>
        </w:rPr>
        <w:t>以</w:t>
      </w:r>
      <w:r>
        <w:rPr>
          <w:rFonts w:ascii="宋体" w:hAnsi="宋体" w:eastAsia="宋体" w:cs="Times New Roman"/>
          <w:sz w:val="28"/>
          <w:szCs w:val="28"/>
        </w:rPr>
        <w:t>规范性、 科学性、 实用性</w:t>
      </w:r>
      <w:r>
        <w:rPr>
          <w:rFonts w:hint="eastAsia" w:ascii="宋体" w:hAnsi="宋体" w:eastAsia="宋体" w:cs="Times New Roman"/>
          <w:sz w:val="28"/>
          <w:szCs w:val="28"/>
          <w:lang w:val="en-US" w:eastAsia="zh-CN"/>
        </w:rPr>
        <w:t>为</w:t>
      </w:r>
      <w:r>
        <w:rPr>
          <w:rFonts w:ascii="宋体" w:hAnsi="宋体" w:eastAsia="宋体" w:cs="Times New Roman"/>
          <w:sz w:val="28"/>
          <w:szCs w:val="28"/>
        </w:rPr>
        <w:t>原则编制本标准</w:t>
      </w:r>
      <w:r>
        <w:rPr>
          <w:rFonts w:hint="eastAsia" w:ascii="宋体" w:hAnsi="宋体" w:eastAsia="宋体" w:cs="Times New Roman"/>
          <w:sz w:val="28"/>
          <w:szCs w:val="28"/>
          <w:lang w:eastAsia="zh-CN"/>
        </w:rPr>
        <w:t>。</w:t>
      </w:r>
      <w:r>
        <w:rPr>
          <w:rFonts w:hint="eastAsia" w:ascii="宋体" w:hAnsi="宋体" w:eastAsia="宋体" w:cs="Times New Roman"/>
          <w:sz w:val="28"/>
          <w:szCs w:val="28"/>
        </w:rPr>
        <w:br w:type="textWrapping"/>
      </w:r>
      <w:r>
        <w:rPr>
          <w:rFonts w:hint="eastAsia" w:ascii="宋体" w:hAnsi="宋体" w:eastAsia="宋体" w:cs="Times New Roman"/>
          <w:sz w:val="28"/>
          <w:szCs w:val="28"/>
          <w:lang w:val="en-US" w:eastAsia="zh-CN"/>
        </w:rPr>
        <w:t xml:space="preserve">    </w:t>
      </w:r>
      <w:r>
        <w:rPr>
          <w:rFonts w:ascii="宋体" w:hAnsi="宋体" w:eastAsia="宋体" w:cs="Times New Roman"/>
          <w:sz w:val="28"/>
          <w:szCs w:val="28"/>
        </w:rPr>
        <w:t>1</w:t>
      </w:r>
      <w:r>
        <w:rPr>
          <w:rFonts w:hint="eastAsia" w:ascii="宋体" w:hAnsi="宋体" w:eastAsia="宋体" w:cs="Times New Roman"/>
          <w:sz w:val="28"/>
          <w:szCs w:val="28"/>
          <w:lang w:val="en-US" w:eastAsia="zh-CN"/>
        </w:rPr>
        <w:t>.</w:t>
      </w:r>
      <w:r>
        <w:rPr>
          <w:rFonts w:ascii="宋体" w:hAnsi="宋体" w:eastAsia="宋体" w:cs="Times New Roman"/>
          <w:sz w:val="28"/>
          <w:szCs w:val="28"/>
        </w:rPr>
        <w:t>规范性</w:t>
      </w:r>
      <w:r>
        <w:rPr>
          <w:rFonts w:hint="eastAsia" w:ascii="宋体" w:hAnsi="宋体" w:eastAsia="宋体" w:cs="Times New Roman"/>
          <w:sz w:val="28"/>
          <w:szCs w:val="28"/>
          <w:lang w:eastAsia="zh-CN"/>
        </w:rPr>
        <w:t>：</w:t>
      </w:r>
      <w:r>
        <w:rPr>
          <w:rFonts w:ascii="宋体" w:hAnsi="宋体" w:eastAsia="宋体" w:cs="Times New Roman"/>
          <w:sz w:val="28"/>
          <w:szCs w:val="28"/>
        </w:rPr>
        <w:t>根据 GB/T1.1-2</w:t>
      </w:r>
      <w:r>
        <w:rPr>
          <w:rFonts w:hint="eastAsia" w:ascii="宋体" w:hAnsi="宋体" w:eastAsia="宋体" w:cs="Times New Roman"/>
          <w:sz w:val="28"/>
          <w:szCs w:val="28"/>
          <w:lang w:val="en-US" w:eastAsia="zh-CN"/>
        </w:rPr>
        <w:t>020</w:t>
      </w:r>
      <w:r>
        <w:rPr>
          <w:rFonts w:ascii="宋体" w:hAnsi="宋体" w:eastAsia="宋体" w:cs="Times New Roman"/>
          <w:sz w:val="28"/>
          <w:szCs w:val="28"/>
        </w:rPr>
        <w:t>《标准化工作导则第1部分</w:t>
      </w:r>
      <w:r>
        <w:rPr>
          <w:rFonts w:hint="eastAsia" w:ascii="宋体" w:hAnsi="宋体" w:eastAsia="宋体" w:cs="Times New Roman"/>
          <w:sz w:val="28"/>
          <w:szCs w:val="28"/>
          <w:lang w:eastAsia="zh-CN"/>
        </w:rPr>
        <w:t>：</w:t>
      </w:r>
      <w:r>
        <w:rPr>
          <w:rFonts w:ascii="宋体" w:hAnsi="宋体" w:eastAsia="宋体" w:cs="Times New Roman"/>
          <w:sz w:val="28"/>
          <w:szCs w:val="28"/>
        </w:rPr>
        <w:t>标准的结构和编写规则》的要求制订,</w:t>
      </w:r>
      <w:r>
        <w:rPr>
          <w:rFonts w:hint="eastAsia" w:ascii="宋体" w:hAnsi="宋体" w:eastAsia="宋体" w:cs="Times New Roman"/>
          <w:sz w:val="28"/>
          <w:szCs w:val="28"/>
          <w:lang w:val="en-US" w:eastAsia="zh-CN"/>
        </w:rPr>
        <w:t>参考GB/T 15657-2021《中医病证分类与代码》、</w:t>
      </w:r>
      <w:r>
        <w:rPr>
          <w:rFonts w:ascii="宋体" w:hAnsi="宋体" w:eastAsia="宋体" w:cs="Times New Roman"/>
          <w:sz w:val="28"/>
          <w:szCs w:val="28"/>
        </w:rPr>
        <w:t>T/CACM 007-2016</w:t>
      </w:r>
      <w:r>
        <w:rPr>
          <w:rFonts w:hint="eastAsia" w:ascii="宋体" w:hAnsi="宋体" w:eastAsia="宋体" w:cs="Times New Roman"/>
          <w:sz w:val="28"/>
          <w:szCs w:val="28"/>
          <w:lang w:val="en-US" w:eastAsia="zh-CN"/>
        </w:rPr>
        <w:t xml:space="preserve"> 《</w:t>
      </w:r>
      <w:r>
        <w:rPr>
          <w:rFonts w:ascii="宋体" w:hAnsi="宋体" w:eastAsia="宋体" w:cs="Times New Roman"/>
          <w:sz w:val="28"/>
          <w:szCs w:val="28"/>
        </w:rPr>
        <w:t>药食同源药膳标准通则</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等现行标准，借鉴T/GDACM 0104—2021《岭南地区慢性肾脏病中医健康膳食指南》的体例，</w:t>
      </w:r>
      <w:r>
        <w:rPr>
          <w:rFonts w:ascii="宋体" w:hAnsi="宋体" w:eastAsia="宋体" w:cs="Times New Roman"/>
          <w:sz w:val="28"/>
          <w:szCs w:val="28"/>
        </w:rPr>
        <w:t>结合慢病防治的中医药特点,形成本标准的结构</w:t>
      </w:r>
      <w:r>
        <w:rPr>
          <w:rFonts w:hint="eastAsia" w:ascii="宋体" w:hAnsi="宋体" w:eastAsia="宋体" w:cs="Times New Roman"/>
          <w:sz w:val="28"/>
          <w:szCs w:val="28"/>
          <w:lang w:val="en-US" w:eastAsia="zh-CN"/>
        </w:rPr>
        <w:t>及</w:t>
      </w:r>
      <w:r>
        <w:rPr>
          <w:rFonts w:ascii="宋体" w:hAnsi="宋体" w:eastAsia="宋体" w:cs="Times New Roman"/>
          <w:sz w:val="28"/>
          <w:szCs w:val="28"/>
        </w:rPr>
        <w:t>内容</w:t>
      </w:r>
      <w:r>
        <w:rPr>
          <w:rFonts w:hint="eastAsia" w:ascii="宋体" w:hAnsi="宋体" w:eastAsia="宋体" w:cs="Times New Roman"/>
          <w:sz w:val="28"/>
          <w:szCs w:val="28"/>
          <w:lang w:val="en-US" w:eastAsia="zh-CN"/>
        </w:rPr>
        <w:t>框架</w:t>
      </w:r>
      <w:r>
        <w:rPr>
          <w:rFonts w:ascii="宋体" w:hAnsi="宋体" w:eastAsia="宋体" w:cs="Times New Roman"/>
          <w:sz w:val="28"/>
          <w:szCs w:val="28"/>
        </w:rPr>
        <w:t>。符合国家有关法律、法规的规定，与国家标准或行业标准、地方标准之间协调一致。</w:t>
      </w:r>
      <w:r>
        <w:rPr>
          <w:rFonts w:hint="eastAsia" w:ascii="宋体" w:hAnsi="宋体" w:eastAsia="宋体" w:cs="Times New Roman"/>
          <w:sz w:val="28"/>
          <w:szCs w:val="28"/>
        </w:rPr>
        <w:br w:type="textWrapping"/>
      </w:r>
      <w:r>
        <w:rPr>
          <w:rFonts w:hint="eastAsia" w:ascii="宋体" w:hAnsi="宋体" w:eastAsia="宋体" w:cs="Times New Roman"/>
          <w:sz w:val="28"/>
          <w:szCs w:val="28"/>
          <w:lang w:val="en-US" w:eastAsia="zh-CN"/>
        </w:rPr>
        <w:t xml:space="preserve">    </w:t>
      </w:r>
      <w:r>
        <w:rPr>
          <w:rFonts w:ascii="宋体" w:hAnsi="宋体" w:eastAsia="宋体" w:cs="Times New Roman"/>
          <w:sz w:val="28"/>
          <w:szCs w:val="28"/>
        </w:rPr>
        <w:t>2</w:t>
      </w:r>
      <w:r>
        <w:rPr>
          <w:rFonts w:hint="eastAsia" w:ascii="宋体" w:hAnsi="宋体" w:eastAsia="宋体" w:cs="Times New Roman"/>
          <w:sz w:val="28"/>
          <w:szCs w:val="28"/>
          <w:lang w:val="en-US" w:eastAsia="zh-CN"/>
        </w:rPr>
        <w:t>.</w:t>
      </w:r>
      <w:r>
        <w:rPr>
          <w:rFonts w:ascii="宋体" w:hAnsi="宋体" w:eastAsia="宋体" w:cs="Times New Roman"/>
          <w:sz w:val="28"/>
          <w:szCs w:val="28"/>
        </w:rPr>
        <w:t>科学性</w:t>
      </w:r>
      <w:r>
        <w:rPr>
          <w:rFonts w:hint="eastAsia" w:ascii="宋体" w:hAnsi="宋体" w:eastAsia="宋体" w:cs="Times New Roman"/>
          <w:sz w:val="28"/>
          <w:szCs w:val="28"/>
          <w:lang w:eastAsia="zh-CN"/>
        </w:rPr>
        <w:t>：</w:t>
      </w:r>
      <w:r>
        <w:rPr>
          <w:rFonts w:ascii="宋体" w:hAnsi="宋体" w:eastAsia="宋体" w:cs="Times New Roman"/>
          <w:sz w:val="28"/>
          <w:szCs w:val="28"/>
        </w:rPr>
        <w:t>运用文献</w:t>
      </w:r>
      <w:r>
        <w:rPr>
          <w:rFonts w:hint="eastAsia" w:ascii="宋体" w:hAnsi="宋体" w:eastAsia="宋体" w:cs="Times New Roman"/>
          <w:sz w:val="28"/>
          <w:szCs w:val="28"/>
          <w:lang w:val="en-US" w:eastAsia="zh-CN"/>
        </w:rPr>
        <w:t>研读</w:t>
      </w:r>
      <w:r>
        <w:rPr>
          <w:rFonts w:ascii="宋体" w:hAnsi="宋体" w:eastAsia="宋体" w:cs="Times New Roman"/>
          <w:sz w:val="28"/>
          <w:szCs w:val="28"/>
        </w:rPr>
        <w:t>、专家</w:t>
      </w:r>
      <w:r>
        <w:rPr>
          <w:rFonts w:hint="eastAsia" w:ascii="宋体" w:hAnsi="宋体" w:eastAsia="宋体" w:cs="Times New Roman"/>
          <w:sz w:val="28"/>
          <w:szCs w:val="28"/>
          <w:lang w:val="en-US" w:eastAsia="zh-CN"/>
        </w:rPr>
        <w:t>咨询、问卷调查、同行评议</w:t>
      </w:r>
      <w:r>
        <w:rPr>
          <w:rFonts w:ascii="宋体" w:hAnsi="宋体" w:eastAsia="宋体" w:cs="Times New Roman"/>
          <w:sz w:val="28"/>
          <w:szCs w:val="28"/>
        </w:rPr>
        <w:t>等方法</w:t>
      </w:r>
      <w:r>
        <w:rPr>
          <w:rFonts w:hint="eastAsia" w:ascii="宋体" w:hAnsi="宋体" w:eastAsia="宋体" w:cs="Times New Roman"/>
          <w:sz w:val="28"/>
          <w:szCs w:val="28"/>
          <w:lang w:val="en-US" w:eastAsia="zh-CN"/>
        </w:rPr>
        <w:t>充分调研</w:t>
      </w:r>
      <w:r>
        <w:rPr>
          <w:rFonts w:ascii="宋体" w:hAnsi="宋体" w:eastAsia="宋体" w:cs="Times New Roman"/>
          <w:sz w:val="28"/>
          <w:szCs w:val="28"/>
        </w:rPr>
        <w:t>,整合现有中医健康膳食管理工作的经验、资源信息，参考现有的相关标准</w:t>
      </w:r>
      <w:r>
        <w:rPr>
          <w:rFonts w:hint="eastAsia" w:ascii="宋体" w:hAnsi="宋体" w:eastAsia="宋体" w:cs="Times New Roman"/>
          <w:sz w:val="28"/>
          <w:szCs w:val="28"/>
          <w:lang w:val="en-US" w:eastAsia="zh-CN"/>
        </w:rPr>
        <w:t>及权威出版物：ZY/T 10—2024《中医病证诊断与疗效评价规范制修订通则》、ZY/T 001.1-1994《中医内科病证诊断疗效标准》、《中华人民共和国药典（2020年版 一部）》、</w:t>
      </w:r>
      <w:r>
        <w:rPr>
          <w:rFonts w:ascii="宋体" w:hAnsi="宋体" w:eastAsia="宋体" w:cs="Times New Roman"/>
          <w:sz w:val="28"/>
          <w:szCs w:val="28"/>
        </w:rPr>
        <w:t>T/ZGYSYJH 005—2022</w:t>
      </w:r>
      <w:r>
        <w:rPr>
          <w:rFonts w:hint="eastAsia" w:ascii="宋体" w:hAnsi="宋体" w:eastAsia="宋体" w:cs="Times New Roman"/>
          <w:sz w:val="28"/>
          <w:szCs w:val="28"/>
          <w:lang w:eastAsia="zh-CN"/>
        </w:rPr>
        <w:t>《</w:t>
      </w:r>
      <w:r>
        <w:rPr>
          <w:rFonts w:hint="eastAsia" w:ascii="宋体" w:hAnsi="宋体" w:eastAsia="宋体" w:cs="Times New Roman"/>
          <w:sz w:val="28"/>
          <w:szCs w:val="28"/>
        </w:rPr>
        <w:t>食养药膳烹饪技术操作规范通则</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T/GDACM 0104—2021《岭南地区慢性肾脏病中医健康膳食指南》</w:t>
      </w:r>
      <w:r>
        <w:rPr>
          <w:rFonts w:ascii="宋体" w:hAnsi="宋体" w:eastAsia="宋体" w:cs="Times New Roman"/>
          <w:sz w:val="28"/>
          <w:szCs w:val="28"/>
        </w:rPr>
        <w:t>等</w:t>
      </w:r>
      <w:r>
        <w:rPr>
          <w:rFonts w:hint="eastAsia" w:ascii="宋体" w:hAnsi="宋体" w:eastAsia="宋体" w:cs="Times New Roman"/>
          <w:sz w:val="28"/>
          <w:szCs w:val="28"/>
          <w:lang w:eastAsia="zh-CN"/>
        </w:rPr>
        <w:t>，</w:t>
      </w:r>
      <w:r>
        <w:rPr>
          <w:rFonts w:ascii="宋体" w:hAnsi="宋体" w:eastAsia="宋体" w:cs="Times New Roman"/>
          <w:sz w:val="28"/>
          <w:szCs w:val="28"/>
        </w:rPr>
        <w:t>形成既符合标准编制要求又具有中医特点的岭南地区慢性</w:t>
      </w:r>
      <w:r>
        <w:rPr>
          <w:rFonts w:hint="eastAsia" w:ascii="宋体" w:hAnsi="宋体" w:eastAsia="宋体" w:cs="Times New Roman"/>
          <w:sz w:val="28"/>
          <w:szCs w:val="28"/>
        </w:rPr>
        <w:t>呼吸衰竭</w:t>
      </w:r>
      <w:r>
        <w:rPr>
          <w:rFonts w:ascii="宋体" w:hAnsi="宋体" w:eastAsia="宋体" w:cs="Times New Roman"/>
          <w:sz w:val="28"/>
          <w:szCs w:val="28"/>
        </w:rPr>
        <w:t>中医健康膳食指南。</w:t>
      </w:r>
      <w:r>
        <w:rPr>
          <w:rFonts w:hint="eastAsia" w:ascii="宋体" w:hAnsi="宋体" w:eastAsia="宋体" w:cs="Times New Roman"/>
          <w:sz w:val="28"/>
          <w:szCs w:val="28"/>
        </w:rPr>
        <w:br w:type="textWrapping"/>
      </w:r>
      <w:r>
        <w:rPr>
          <w:rFonts w:hint="eastAsia" w:ascii="宋体" w:hAnsi="宋体" w:eastAsia="宋体" w:cs="Times New Roman"/>
          <w:sz w:val="28"/>
          <w:szCs w:val="28"/>
          <w:lang w:val="en-US" w:eastAsia="zh-CN"/>
        </w:rPr>
        <w:t xml:space="preserve">    </w:t>
      </w:r>
      <w:r>
        <w:rPr>
          <w:rFonts w:ascii="宋体" w:hAnsi="宋体" w:eastAsia="宋体" w:cs="Times New Roman"/>
          <w:sz w:val="28"/>
          <w:szCs w:val="28"/>
        </w:rPr>
        <w:t>3</w:t>
      </w:r>
      <w:r>
        <w:rPr>
          <w:rFonts w:hint="eastAsia" w:ascii="宋体" w:hAnsi="宋体" w:eastAsia="宋体" w:cs="Times New Roman"/>
          <w:sz w:val="28"/>
          <w:szCs w:val="28"/>
          <w:lang w:val="en-US" w:eastAsia="zh-CN"/>
        </w:rPr>
        <w:t>.</w:t>
      </w:r>
      <w:r>
        <w:rPr>
          <w:rFonts w:ascii="宋体" w:hAnsi="宋体" w:eastAsia="宋体" w:cs="Times New Roman"/>
          <w:sz w:val="28"/>
          <w:szCs w:val="28"/>
        </w:rPr>
        <w:t>实用性</w:t>
      </w:r>
      <w:r>
        <w:rPr>
          <w:rFonts w:hint="eastAsia" w:ascii="宋体" w:hAnsi="宋体" w:eastAsia="宋体" w:cs="Times New Roman"/>
          <w:sz w:val="28"/>
          <w:szCs w:val="28"/>
          <w:lang w:eastAsia="zh-CN"/>
        </w:rPr>
        <w:t>：</w:t>
      </w:r>
      <w:r>
        <w:rPr>
          <w:rFonts w:ascii="宋体" w:hAnsi="宋体" w:eastAsia="宋体" w:cs="Times New Roman"/>
          <w:sz w:val="28"/>
          <w:szCs w:val="28"/>
        </w:rPr>
        <w:t>本标准</w:t>
      </w:r>
      <w:r>
        <w:rPr>
          <w:rFonts w:hint="eastAsia" w:ascii="宋体" w:hAnsi="宋体" w:eastAsia="宋体" w:cs="Times New Roman"/>
          <w:sz w:val="28"/>
          <w:szCs w:val="28"/>
        </w:rPr>
        <w:t>从</w:t>
      </w:r>
      <w:r>
        <w:rPr>
          <w:rFonts w:ascii="宋体" w:hAnsi="宋体" w:eastAsia="宋体" w:cs="Times New Roman"/>
          <w:sz w:val="28"/>
          <w:szCs w:val="28"/>
        </w:rPr>
        <w:t>慢性</w:t>
      </w:r>
      <w:r>
        <w:rPr>
          <w:rFonts w:hint="eastAsia" w:ascii="宋体" w:hAnsi="宋体" w:eastAsia="宋体" w:cs="Times New Roman"/>
          <w:sz w:val="28"/>
          <w:szCs w:val="28"/>
        </w:rPr>
        <w:t>呼吸衰竭中医膳食治疗</w:t>
      </w:r>
      <w:r>
        <w:rPr>
          <w:rFonts w:ascii="宋体" w:hAnsi="宋体" w:eastAsia="宋体" w:cs="Times New Roman"/>
          <w:sz w:val="28"/>
          <w:szCs w:val="28"/>
        </w:rPr>
        <w:t>患者</w:t>
      </w:r>
      <w:r>
        <w:rPr>
          <w:rFonts w:hint="eastAsia" w:ascii="宋体" w:hAnsi="宋体" w:eastAsia="宋体" w:cs="Times New Roman"/>
          <w:sz w:val="28"/>
          <w:szCs w:val="28"/>
        </w:rPr>
        <w:t>的中医辨证</w:t>
      </w:r>
      <w:r>
        <w:rPr>
          <w:rFonts w:ascii="宋体" w:hAnsi="宋体" w:eastAsia="宋体" w:cs="Times New Roman"/>
          <w:sz w:val="28"/>
          <w:szCs w:val="28"/>
        </w:rPr>
        <w:t>、</w:t>
      </w:r>
      <w:r>
        <w:rPr>
          <w:rFonts w:hint="eastAsia" w:ascii="宋体" w:hAnsi="宋体" w:eastAsia="宋体" w:cs="Times New Roman"/>
          <w:sz w:val="28"/>
          <w:szCs w:val="28"/>
        </w:rPr>
        <w:t>膳食治疗</w:t>
      </w:r>
      <w:r>
        <w:rPr>
          <w:rFonts w:ascii="宋体" w:hAnsi="宋体" w:eastAsia="宋体" w:cs="Times New Roman"/>
          <w:sz w:val="28"/>
          <w:szCs w:val="28"/>
        </w:rPr>
        <w:t>基本原则、</w:t>
      </w:r>
      <w:r>
        <w:rPr>
          <w:rFonts w:hint="eastAsia" w:ascii="宋体" w:hAnsi="宋体" w:eastAsia="宋体" w:cs="Times New Roman"/>
          <w:sz w:val="28"/>
          <w:szCs w:val="28"/>
        </w:rPr>
        <w:t>推荐膳食</w:t>
      </w:r>
      <w:r>
        <w:rPr>
          <w:rFonts w:ascii="宋体" w:hAnsi="宋体" w:eastAsia="宋体" w:cs="Times New Roman"/>
          <w:sz w:val="28"/>
          <w:szCs w:val="28"/>
        </w:rPr>
        <w:t>、</w:t>
      </w:r>
      <w:r>
        <w:rPr>
          <w:rFonts w:hint="eastAsia" w:ascii="宋体" w:hAnsi="宋体" w:eastAsia="宋体" w:cs="Times New Roman"/>
          <w:sz w:val="28"/>
          <w:szCs w:val="28"/>
          <w:lang w:val="en-US" w:eastAsia="zh-CN"/>
        </w:rPr>
        <w:t>膳食管理、</w:t>
      </w:r>
      <w:r>
        <w:rPr>
          <w:rFonts w:hint="eastAsia" w:ascii="宋体" w:hAnsi="宋体" w:eastAsia="宋体" w:cs="Times New Roman"/>
          <w:sz w:val="28"/>
          <w:szCs w:val="28"/>
        </w:rPr>
        <w:t>膳食</w:t>
      </w:r>
      <w:r>
        <w:rPr>
          <w:rFonts w:hint="eastAsia" w:ascii="宋体" w:hAnsi="宋体" w:eastAsia="宋体" w:cs="Times New Roman"/>
          <w:sz w:val="28"/>
          <w:szCs w:val="28"/>
          <w:lang w:val="en-US" w:eastAsia="zh-CN"/>
        </w:rPr>
        <w:t>宣教</w:t>
      </w:r>
      <w:r>
        <w:rPr>
          <w:rFonts w:ascii="宋体" w:hAnsi="宋体" w:eastAsia="宋体" w:cs="Times New Roman"/>
          <w:sz w:val="28"/>
          <w:szCs w:val="28"/>
        </w:rPr>
        <w:t>、依从性管理等</w:t>
      </w:r>
      <w:r>
        <w:rPr>
          <w:rFonts w:hint="eastAsia" w:ascii="宋体" w:hAnsi="宋体" w:eastAsia="宋体" w:cs="Times New Roman"/>
          <w:sz w:val="28"/>
          <w:szCs w:val="28"/>
        </w:rPr>
        <w:t>方面，较为全面</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详尽</w:t>
      </w:r>
      <w:r>
        <w:rPr>
          <w:rFonts w:hint="eastAsia" w:ascii="宋体" w:hAnsi="宋体" w:eastAsia="宋体" w:cs="Times New Roman"/>
          <w:sz w:val="28"/>
          <w:szCs w:val="28"/>
        </w:rPr>
        <w:t>地</w:t>
      </w:r>
      <w:r>
        <w:rPr>
          <w:rFonts w:ascii="宋体" w:hAnsi="宋体" w:eastAsia="宋体" w:cs="Times New Roman"/>
          <w:sz w:val="28"/>
          <w:szCs w:val="28"/>
        </w:rPr>
        <w:t>阐述了慢性</w:t>
      </w:r>
      <w:r>
        <w:rPr>
          <w:rFonts w:hint="eastAsia" w:ascii="宋体" w:hAnsi="宋体" w:eastAsia="宋体" w:cs="Times New Roman"/>
          <w:sz w:val="28"/>
          <w:szCs w:val="28"/>
        </w:rPr>
        <w:t>呼吸衰竭中医</w:t>
      </w:r>
      <w:r>
        <w:rPr>
          <w:rFonts w:ascii="宋体" w:hAnsi="宋体" w:eastAsia="宋体" w:cs="Times New Roman"/>
          <w:sz w:val="28"/>
          <w:szCs w:val="28"/>
        </w:rPr>
        <w:t>膳食</w:t>
      </w:r>
      <w:r>
        <w:rPr>
          <w:rFonts w:hint="eastAsia" w:ascii="宋体" w:hAnsi="宋体" w:eastAsia="宋体" w:cs="Times New Roman"/>
          <w:sz w:val="28"/>
          <w:szCs w:val="28"/>
        </w:rPr>
        <w:t>治疗的</w:t>
      </w:r>
      <w:r>
        <w:rPr>
          <w:rFonts w:ascii="宋体" w:hAnsi="宋体" w:eastAsia="宋体" w:cs="Times New Roman"/>
          <w:sz w:val="28"/>
          <w:szCs w:val="28"/>
        </w:rPr>
        <w:t>相关内容。</w:t>
      </w:r>
    </w:p>
    <w:p w14:paraId="78D4A728">
      <w:pPr>
        <w:numPr>
          <w:ilvl w:val="0"/>
          <w:numId w:val="3"/>
        </w:numPr>
        <w:snapToGrid w:val="0"/>
        <w:spacing w:line="360" w:lineRule="auto"/>
        <w:ind w:firstLine="562" w:firstLineChars="200"/>
        <w:rPr>
          <w:rFonts w:hint="eastAsia" w:ascii="宋体" w:hAnsi="宋体" w:eastAsia="宋体" w:cs="Times New Roman"/>
          <w:b/>
          <w:bCs/>
          <w:kern w:val="0"/>
          <w:sz w:val="28"/>
          <w:szCs w:val="36"/>
          <w:lang w:val="en-US" w:eastAsia="zh-CN" w:bidi="ar-SA"/>
        </w:rPr>
      </w:pPr>
      <w:r>
        <w:rPr>
          <w:rFonts w:hint="eastAsia" w:ascii="宋体" w:hAnsi="宋体" w:eastAsia="宋体" w:cs="Times New Roman"/>
          <w:b/>
          <w:bCs/>
          <w:kern w:val="0"/>
          <w:sz w:val="28"/>
          <w:szCs w:val="36"/>
          <w:lang w:val="en-US" w:eastAsia="zh-CN" w:bidi="ar-SA"/>
        </w:rPr>
        <w:t>主要内容</w:t>
      </w:r>
    </w:p>
    <w:p w14:paraId="3BEB9B79">
      <w:pPr>
        <w:rPr>
          <w:rFonts w:hint="eastAsia" w:ascii="宋体" w:hAnsi="宋体" w:eastAsia="宋体" w:cs="Times New Roman"/>
          <w:sz w:val="28"/>
          <w:szCs w:val="28"/>
          <w:lang w:val="en-US" w:eastAsia="zh-CN"/>
        </w:rPr>
      </w:pPr>
      <w:r>
        <w:rPr>
          <w:rFonts w:hint="eastAsia" w:ascii="宋体" w:hAnsi="宋体" w:eastAsia="宋体" w:cs="Times New Roman"/>
          <w:sz w:val="28"/>
          <w:szCs w:val="28"/>
        </w:rPr>
        <w:t xml:space="preserve"> </w:t>
      </w:r>
      <w:r>
        <w:rPr>
          <w:rFonts w:ascii="宋体" w:hAnsi="宋体" w:eastAsia="宋体" w:cs="Times New Roman"/>
          <w:sz w:val="28"/>
          <w:szCs w:val="28"/>
        </w:rPr>
        <w:t xml:space="preserve">   </w:t>
      </w:r>
      <w:r>
        <w:rPr>
          <w:rFonts w:hint="eastAsia" w:ascii="宋体" w:hAnsi="宋体" w:eastAsia="宋体" w:cs="Times New Roman"/>
          <w:sz w:val="28"/>
          <w:szCs w:val="28"/>
          <w:lang w:val="en-US" w:eastAsia="zh-CN"/>
        </w:rPr>
        <w:t>1.标准的适用范围</w:t>
      </w:r>
    </w:p>
    <w:p w14:paraId="08391403">
      <w:pPr>
        <w:ind w:firstLine="560" w:firstLineChars="200"/>
        <w:rPr>
          <w:rFonts w:hint="eastAsia"/>
          <w:sz w:val="28"/>
          <w:szCs w:val="28"/>
        </w:rPr>
      </w:pPr>
      <w:r>
        <w:rPr>
          <w:rFonts w:hint="eastAsia" w:ascii="宋体" w:hAnsi="宋体" w:eastAsia="宋体" w:cs="Times New Roman"/>
          <w:sz w:val="28"/>
          <w:szCs w:val="28"/>
          <w:lang w:val="en-US" w:eastAsia="zh-CN"/>
        </w:rPr>
        <w:t>（1）本文件规定了岭南地区慢性呼吸衰竭中医膳食治疗的相关术语和定义、中医证候分类与辨识、治疗原则、膳食推荐、膳食管理小组、评估和监测、针对患者或患者家属的膳食宣教、患者依从性管理方面的要点。</w:t>
      </w:r>
    </w:p>
    <w:p w14:paraId="6444FFE1">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2</w:t>
      </w:r>
      <w:r>
        <w:rPr>
          <w:rFonts w:hint="eastAsia" w:ascii="宋体" w:hAnsi="宋体" w:eastAsia="宋体" w:cs="Times New Roman"/>
          <w:sz w:val="28"/>
          <w:szCs w:val="28"/>
          <w:lang w:eastAsia="zh-CN"/>
        </w:rPr>
        <w:t>）</w:t>
      </w:r>
      <w:r>
        <w:rPr>
          <w:rFonts w:hint="eastAsia" w:ascii="宋体" w:hAnsi="宋体" w:eastAsia="宋体" w:cs="Times New Roman"/>
          <w:sz w:val="28"/>
          <w:szCs w:val="28"/>
        </w:rPr>
        <w:t>本标准的使用人群为照护</w:t>
      </w:r>
      <w:r>
        <w:rPr>
          <w:rFonts w:ascii="宋体" w:hAnsi="宋体" w:eastAsia="宋体" w:cs="Times New Roman"/>
          <w:sz w:val="28"/>
          <w:szCs w:val="28"/>
        </w:rPr>
        <w:t>岭南</w:t>
      </w:r>
      <w:r>
        <w:rPr>
          <w:rFonts w:hint="eastAsia" w:ascii="宋体" w:hAnsi="宋体" w:eastAsia="宋体" w:cs="Times New Roman"/>
          <w:sz w:val="28"/>
          <w:szCs w:val="28"/>
        </w:rPr>
        <w:t>地区</w:t>
      </w:r>
      <w:r>
        <w:rPr>
          <w:rFonts w:ascii="宋体" w:hAnsi="宋体" w:eastAsia="宋体" w:cs="Times New Roman"/>
          <w:sz w:val="28"/>
          <w:szCs w:val="28"/>
        </w:rPr>
        <w:t>慢性</w:t>
      </w:r>
      <w:r>
        <w:rPr>
          <w:rFonts w:hint="eastAsia" w:ascii="宋体" w:hAnsi="宋体" w:eastAsia="宋体" w:cs="Times New Roman"/>
          <w:sz w:val="28"/>
          <w:szCs w:val="28"/>
        </w:rPr>
        <w:t>呼吸衰竭患者</w:t>
      </w:r>
      <w:r>
        <w:rPr>
          <w:rFonts w:ascii="宋体" w:hAnsi="宋体" w:eastAsia="宋体" w:cs="Times New Roman"/>
          <w:sz w:val="28"/>
          <w:szCs w:val="28"/>
        </w:rPr>
        <w:t>的医护人员</w:t>
      </w:r>
      <w:r>
        <w:rPr>
          <w:rFonts w:hint="eastAsia" w:ascii="宋体" w:hAnsi="宋体" w:eastAsia="宋体" w:cs="Times New Roman"/>
          <w:sz w:val="28"/>
          <w:szCs w:val="28"/>
          <w:lang w:eastAsia="zh-CN"/>
        </w:rPr>
        <w:t>，</w:t>
      </w:r>
      <w:r>
        <w:rPr>
          <w:rFonts w:hint="eastAsia" w:ascii="宋体" w:hAnsi="宋体" w:eastAsia="宋体" w:cs="Times New Roman"/>
          <w:sz w:val="28"/>
          <w:szCs w:val="28"/>
        </w:rPr>
        <w:t>目标人群为岭南地区慢性呼吸衰竭成年患者，干预对象为</w:t>
      </w:r>
      <w:r>
        <w:rPr>
          <w:rFonts w:hint="eastAsia" w:ascii="宋体" w:hAnsi="宋体" w:eastAsia="宋体" w:cs="Times New Roman"/>
          <w:sz w:val="28"/>
          <w:szCs w:val="28"/>
          <w:lang w:val="en-US" w:eastAsia="zh-CN"/>
        </w:rPr>
        <w:t>岭南地区慢性呼吸衰竭</w:t>
      </w:r>
      <w:r>
        <w:rPr>
          <w:rFonts w:hint="eastAsia" w:ascii="宋体" w:hAnsi="宋体" w:eastAsia="宋体" w:cs="Times New Roman"/>
          <w:sz w:val="28"/>
          <w:szCs w:val="28"/>
        </w:rPr>
        <w:t>患者及其亲友</w:t>
      </w:r>
      <w:r>
        <w:rPr>
          <w:rFonts w:hint="eastAsia" w:ascii="宋体" w:hAnsi="宋体" w:eastAsia="宋体" w:cs="Times New Roman"/>
          <w:sz w:val="28"/>
          <w:szCs w:val="28"/>
          <w:lang w:eastAsia="zh-CN"/>
        </w:rPr>
        <w:t>。</w:t>
      </w:r>
      <w:r>
        <w:rPr>
          <w:rFonts w:hint="eastAsia" w:ascii="宋体" w:hAnsi="宋体" w:eastAsia="宋体" w:cs="Times New Roman"/>
          <w:sz w:val="28"/>
          <w:szCs w:val="28"/>
        </w:rPr>
        <w:t>不适用于未成年人、孕产妇、</w:t>
      </w:r>
      <w:r>
        <w:rPr>
          <w:rFonts w:hint="eastAsia" w:ascii="宋体" w:hAnsi="宋体" w:eastAsia="宋体" w:cs="Times New Roman"/>
          <w:sz w:val="28"/>
          <w:szCs w:val="28"/>
          <w:lang w:val="en-US" w:eastAsia="zh-CN"/>
        </w:rPr>
        <w:t>体重指数</w:t>
      </w:r>
      <w:r>
        <w:rPr>
          <w:rFonts w:hint="eastAsia" w:ascii="宋体" w:hAnsi="宋体" w:eastAsia="宋体" w:cs="Times New Roman"/>
          <w:sz w:val="28"/>
          <w:szCs w:val="28"/>
        </w:rPr>
        <w:t>≥</w:t>
      </w:r>
      <w:r>
        <w:rPr>
          <w:rFonts w:ascii="宋体" w:hAnsi="宋体" w:eastAsia="宋体" w:cs="Times New Roman"/>
          <w:sz w:val="28"/>
          <w:szCs w:val="28"/>
        </w:rPr>
        <w:t>32</w:t>
      </w:r>
      <w:r>
        <w:rPr>
          <w:rFonts w:hint="eastAsia" w:ascii="宋体" w:hAnsi="宋体" w:eastAsia="宋体" w:cs="Times New Roman"/>
          <w:sz w:val="28"/>
          <w:szCs w:val="28"/>
        </w:rPr>
        <w:t>.</w:t>
      </w:r>
      <w:r>
        <w:rPr>
          <w:rFonts w:ascii="宋体" w:hAnsi="宋体" w:eastAsia="宋体" w:cs="Times New Roman"/>
          <w:sz w:val="28"/>
          <w:szCs w:val="28"/>
        </w:rPr>
        <w:t>5kg</w:t>
      </w:r>
      <w:r>
        <w:rPr>
          <w:rFonts w:hint="eastAsia" w:ascii="宋体" w:hAnsi="宋体" w:eastAsia="宋体" w:cs="Times New Roman"/>
          <w:sz w:val="28"/>
          <w:szCs w:val="28"/>
        </w:rPr>
        <w:t>/</w:t>
      </w:r>
      <w:r>
        <w:rPr>
          <w:rFonts w:ascii="宋体" w:hAnsi="宋体" w:eastAsia="宋体" w:cs="Times New Roman"/>
          <w:sz w:val="28"/>
          <w:szCs w:val="28"/>
        </w:rPr>
        <w:t>m</w:t>
      </w:r>
      <w:r>
        <w:rPr>
          <w:rFonts w:ascii="宋体" w:hAnsi="宋体" w:eastAsia="宋体" w:cs="Times New Roman"/>
          <w:sz w:val="28"/>
          <w:szCs w:val="28"/>
          <w:vertAlign w:val="superscript"/>
        </w:rPr>
        <w:t>2</w:t>
      </w:r>
      <w:r>
        <w:rPr>
          <w:rFonts w:hint="eastAsia" w:ascii="宋体" w:hAnsi="宋体" w:eastAsia="宋体" w:cs="Times New Roman"/>
          <w:sz w:val="28"/>
          <w:szCs w:val="28"/>
        </w:rPr>
        <w:t>的肥胖人群、有肠内营养禁忌症或不能耐受岭南饮食的患者、病情加重需住院的患者。</w:t>
      </w:r>
      <w:r>
        <w:rPr>
          <w:rFonts w:hint="eastAsia" w:ascii="宋体" w:hAnsi="宋体" w:eastAsia="宋体" w:cs="Times New Roman"/>
          <w:sz w:val="28"/>
          <w:szCs w:val="28"/>
          <w:lang w:val="en-US" w:eastAsia="zh-CN"/>
        </w:rPr>
        <w:t xml:space="preserve">  </w:t>
      </w:r>
    </w:p>
    <w:p w14:paraId="1406A2A8">
      <w:pPr>
        <w:snapToGrid w:val="0"/>
        <w:spacing w:line="360" w:lineRule="auto"/>
        <w:ind w:firstLine="560" w:firstLineChars="200"/>
        <w:rPr>
          <w:rFonts w:hint="eastAsia"/>
          <w:sz w:val="28"/>
          <w:szCs w:val="28"/>
        </w:rPr>
      </w:pPr>
      <w:r>
        <w:rPr>
          <w:rFonts w:hint="eastAsia" w:ascii="宋体" w:hAnsi="宋体" w:eastAsia="宋体" w:cs="Times New Roman"/>
          <w:sz w:val="28"/>
          <w:szCs w:val="28"/>
          <w:lang w:val="en-US" w:eastAsia="zh-CN"/>
        </w:rPr>
        <w:t>2.主要技术内容</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409"/>
        <w:gridCol w:w="5012"/>
      </w:tblGrid>
      <w:tr w14:paraId="0CDB5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noWrap w:val="0"/>
            <w:vAlign w:val="top"/>
          </w:tcPr>
          <w:p w14:paraId="656F39D0">
            <w:pPr>
              <w:keepNext w:val="0"/>
              <w:keepLines w:val="0"/>
              <w:suppressLineNumbers w:val="0"/>
              <w:spacing w:before="0" w:beforeAutospacing="0" w:after="0" w:afterAutospacing="0"/>
              <w:ind w:left="0" w:right="0"/>
              <w:rPr>
                <w:rFonts w:hint="eastAsia"/>
                <w:b/>
                <w:sz w:val="28"/>
                <w:szCs w:val="28"/>
              </w:rPr>
            </w:pPr>
            <w:r>
              <w:rPr>
                <w:rFonts w:hint="eastAsia"/>
                <w:b/>
                <w:sz w:val="28"/>
                <w:szCs w:val="28"/>
              </w:rPr>
              <w:t>章节</w:t>
            </w:r>
          </w:p>
        </w:tc>
        <w:tc>
          <w:tcPr>
            <w:tcW w:w="2409" w:type="dxa"/>
            <w:shd w:val="clear" w:color="auto" w:fill="auto"/>
            <w:noWrap w:val="0"/>
            <w:vAlign w:val="top"/>
          </w:tcPr>
          <w:p w14:paraId="26D506A9">
            <w:pPr>
              <w:keepNext w:val="0"/>
              <w:keepLines w:val="0"/>
              <w:suppressLineNumbers w:val="0"/>
              <w:spacing w:before="0" w:beforeAutospacing="0" w:after="0" w:afterAutospacing="0"/>
              <w:ind w:left="0" w:right="0"/>
              <w:rPr>
                <w:rFonts w:hint="eastAsia"/>
                <w:b/>
                <w:sz w:val="28"/>
                <w:szCs w:val="28"/>
              </w:rPr>
            </w:pPr>
            <w:r>
              <w:rPr>
                <w:rFonts w:hint="eastAsia"/>
                <w:b/>
                <w:sz w:val="28"/>
                <w:szCs w:val="28"/>
              </w:rPr>
              <w:t>标题</w:t>
            </w:r>
          </w:p>
        </w:tc>
        <w:tc>
          <w:tcPr>
            <w:tcW w:w="5012" w:type="dxa"/>
            <w:shd w:val="clear" w:color="auto" w:fill="auto"/>
            <w:noWrap w:val="0"/>
            <w:vAlign w:val="top"/>
          </w:tcPr>
          <w:p w14:paraId="56DF416E">
            <w:pPr>
              <w:keepNext w:val="0"/>
              <w:keepLines w:val="0"/>
              <w:suppressLineNumbers w:val="0"/>
              <w:spacing w:before="0" w:beforeAutospacing="0" w:after="0" w:afterAutospacing="0"/>
              <w:ind w:left="0" w:right="0"/>
              <w:rPr>
                <w:rFonts w:hint="eastAsia"/>
                <w:b/>
                <w:sz w:val="28"/>
                <w:szCs w:val="28"/>
              </w:rPr>
            </w:pPr>
            <w:r>
              <w:rPr>
                <w:rFonts w:hint="eastAsia"/>
                <w:b/>
                <w:sz w:val="28"/>
                <w:szCs w:val="28"/>
              </w:rPr>
              <w:t>主要技术内容</w:t>
            </w:r>
          </w:p>
        </w:tc>
      </w:tr>
      <w:tr w14:paraId="56E5F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noWrap w:val="0"/>
            <w:vAlign w:val="top"/>
          </w:tcPr>
          <w:p w14:paraId="4083B29E">
            <w:pPr>
              <w:keepNext w:val="0"/>
              <w:keepLines w:val="0"/>
              <w:suppressLineNumbers w:val="0"/>
              <w:spacing w:before="0" w:beforeAutospacing="0" w:after="0" w:afterAutospacing="0"/>
              <w:ind w:left="0" w:right="0"/>
              <w:rPr>
                <w:rFonts w:hint="eastAsia"/>
                <w:sz w:val="28"/>
                <w:szCs w:val="28"/>
              </w:rPr>
            </w:pPr>
            <w:r>
              <w:rPr>
                <w:rFonts w:hint="eastAsia"/>
                <w:sz w:val="28"/>
                <w:szCs w:val="28"/>
              </w:rPr>
              <w:t>1</w:t>
            </w:r>
          </w:p>
        </w:tc>
        <w:tc>
          <w:tcPr>
            <w:tcW w:w="2409" w:type="dxa"/>
            <w:shd w:val="clear" w:color="auto" w:fill="auto"/>
            <w:noWrap w:val="0"/>
            <w:vAlign w:val="top"/>
          </w:tcPr>
          <w:p w14:paraId="1C07A17C">
            <w:pPr>
              <w:keepNext w:val="0"/>
              <w:keepLines w:val="0"/>
              <w:suppressLineNumbers w:val="0"/>
              <w:spacing w:before="0" w:beforeAutospacing="0" w:after="0" w:afterAutospacing="0"/>
              <w:ind w:left="0" w:right="0"/>
              <w:rPr>
                <w:rFonts w:hint="eastAsia"/>
                <w:sz w:val="28"/>
                <w:szCs w:val="28"/>
              </w:rPr>
            </w:pPr>
            <w:r>
              <w:rPr>
                <w:rFonts w:hint="eastAsia"/>
                <w:sz w:val="28"/>
                <w:szCs w:val="28"/>
              </w:rPr>
              <w:t>范围</w:t>
            </w:r>
          </w:p>
        </w:tc>
        <w:tc>
          <w:tcPr>
            <w:tcW w:w="5012" w:type="dxa"/>
            <w:shd w:val="clear" w:color="auto" w:fill="auto"/>
            <w:noWrap w:val="0"/>
            <w:vAlign w:val="top"/>
          </w:tcPr>
          <w:p w14:paraId="583E223A">
            <w:pPr>
              <w:keepNext w:val="0"/>
              <w:keepLines w:val="0"/>
              <w:suppressLineNumbers w:val="0"/>
              <w:spacing w:before="0" w:beforeAutospacing="0" w:after="0" w:afterAutospacing="0"/>
              <w:ind w:left="0" w:right="0"/>
              <w:rPr>
                <w:rFonts w:hint="eastAsia"/>
                <w:sz w:val="28"/>
                <w:szCs w:val="28"/>
              </w:rPr>
            </w:pPr>
            <w:r>
              <w:rPr>
                <w:rFonts w:hint="eastAsia"/>
                <w:sz w:val="28"/>
                <w:szCs w:val="28"/>
              </w:rPr>
              <w:t>本文件规定了岭南地区慢性呼吸衰竭中医膳食治疗的相关术语和定义、中医证候分类与辨识、治疗原则、膳食推荐、膳食管理小组、评估和监测、针对患者或患者家属的膳食宣教、患者依从性管理方面的要点。</w:t>
            </w:r>
          </w:p>
          <w:p w14:paraId="47D005ED">
            <w:pPr>
              <w:keepNext w:val="0"/>
              <w:keepLines w:val="0"/>
              <w:suppressLineNumbers w:val="0"/>
              <w:spacing w:before="0" w:beforeAutospacing="0" w:after="0" w:afterAutospacing="0"/>
              <w:ind w:left="0" w:right="0"/>
              <w:rPr>
                <w:rFonts w:hint="eastAsia"/>
                <w:sz w:val="28"/>
                <w:szCs w:val="28"/>
              </w:rPr>
            </w:pPr>
            <w:r>
              <w:rPr>
                <w:rFonts w:hint="eastAsia"/>
                <w:sz w:val="28"/>
                <w:szCs w:val="28"/>
              </w:rPr>
              <w:t>本文件适用于岭南地区从事慢性呼吸衰竭患者照护的医护人员指导慢性呼吸衰竭患者及其亲友实施家庭中医膳食治疗时使用。在此，慢性呼吸衰竭患者不包括未成年人、孕产妇及哺乳期妇女、体重指数（BMI）≥32.5kg/m</w:t>
            </w:r>
            <w:r>
              <w:rPr>
                <w:rFonts w:hint="eastAsia"/>
                <w:sz w:val="28"/>
                <w:szCs w:val="28"/>
                <w:vertAlign w:val="superscript"/>
              </w:rPr>
              <w:t>2</w:t>
            </w:r>
            <w:r>
              <w:rPr>
                <w:rFonts w:hint="eastAsia"/>
                <w:sz w:val="28"/>
                <w:szCs w:val="28"/>
              </w:rPr>
              <w:t>的肥胖人群、有肠内营养禁忌症或不能耐受岭南饮食的患者、病情加重需住院的患者。</w:t>
            </w:r>
          </w:p>
        </w:tc>
      </w:tr>
      <w:tr w14:paraId="60F4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noWrap w:val="0"/>
            <w:vAlign w:val="top"/>
          </w:tcPr>
          <w:p w14:paraId="3E6CB5FB">
            <w:pPr>
              <w:keepNext w:val="0"/>
              <w:keepLines w:val="0"/>
              <w:suppressLineNumbers w:val="0"/>
              <w:spacing w:before="0" w:beforeAutospacing="0" w:after="0" w:afterAutospacing="0"/>
              <w:ind w:left="0" w:right="0"/>
              <w:rPr>
                <w:rFonts w:hint="eastAsia"/>
                <w:sz w:val="28"/>
                <w:szCs w:val="28"/>
              </w:rPr>
            </w:pPr>
            <w:r>
              <w:rPr>
                <w:rFonts w:hint="eastAsia"/>
                <w:sz w:val="28"/>
                <w:szCs w:val="28"/>
              </w:rPr>
              <w:t>2</w:t>
            </w:r>
          </w:p>
        </w:tc>
        <w:tc>
          <w:tcPr>
            <w:tcW w:w="2409" w:type="dxa"/>
            <w:shd w:val="clear" w:color="auto" w:fill="auto"/>
            <w:noWrap w:val="0"/>
            <w:vAlign w:val="top"/>
          </w:tcPr>
          <w:p w14:paraId="77B01F1F">
            <w:pPr>
              <w:keepNext w:val="0"/>
              <w:keepLines w:val="0"/>
              <w:suppressLineNumbers w:val="0"/>
              <w:spacing w:before="0" w:beforeAutospacing="0" w:after="0" w:afterAutospacing="0"/>
              <w:ind w:left="0" w:right="0"/>
              <w:rPr>
                <w:rFonts w:hint="eastAsia"/>
                <w:sz w:val="28"/>
                <w:szCs w:val="28"/>
              </w:rPr>
            </w:pPr>
            <w:r>
              <w:rPr>
                <w:rFonts w:hint="eastAsia"/>
                <w:sz w:val="28"/>
                <w:szCs w:val="28"/>
              </w:rPr>
              <w:t>规范性引用文件</w:t>
            </w:r>
          </w:p>
        </w:tc>
        <w:tc>
          <w:tcPr>
            <w:tcW w:w="5012" w:type="dxa"/>
            <w:shd w:val="clear" w:color="auto" w:fill="auto"/>
            <w:noWrap w:val="0"/>
            <w:vAlign w:val="top"/>
          </w:tcPr>
          <w:p w14:paraId="2172E98C">
            <w:pPr>
              <w:keepNext w:val="0"/>
              <w:keepLines w:val="0"/>
              <w:suppressLineNumbers w:val="0"/>
              <w:spacing w:before="0" w:beforeAutospacing="0" w:after="0" w:afterAutospacing="0"/>
              <w:ind w:left="0" w:right="0"/>
              <w:rPr>
                <w:rFonts w:hint="eastAsia" w:eastAsiaTheme="minorEastAsia"/>
                <w:sz w:val="28"/>
                <w:szCs w:val="28"/>
                <w:lang w:eastAsia="zh-CN"/>
              </w:rPr>
            </w:pPr>
            <w:r>
              <w:rPr>
                <w:rFonts w:hint="eastAsia"/>
                <w:sz w:val="28"/>
                <w:szCs w:val="28"/>
              </w:rPr>
              <w:t>列出本文件引用的</w:t>
            </w:r>
            <w:r>
              <w:rPr>
                <w:rFonts w:hint="eastAsia"/>
                <w:sz w:val="28"/>
                <w:szCs w:val="28"/>
                <w:lang w:val="en-US" w:eastAsia="zh-CN"/>
              </w:rPr>
              <w:t>国家标准</w:t>
            </w:r>
            <w:r>
              <w:rPr>
                <w:rFonts w:hint="eastAsia"/>
                <w:sz w:val="28"/>
                <w:szCs w:val="28"/>
              </w:rPr>
              <w:t>、</w:t>
            </w:r>
            <w:r>
              <w:rPr>
                <w:rFonts w:hint="eastAsia"/>
                <w:sz w:val="28"/>
                <w:szCs w:val="28"/>
                <w:lang w:val="en-US" w:eastAsia="zh-CN"/>
              </w:rPr>
              <w:t>行业标准</w:t>
            </w:r>
            <w:r>
              <w:rPr>
                <w:rFonts w:hint="eastAsia"/>
                <w:sz w:val="28"/>
                <w:szCs w:val="28"/>
                <w:lang w:eastAsia="zh-CN"/>
              </w:rPr>
              <w:t>。</w:t>
            </w:r>
          </w:p>
        </w:tc>
      </w:tr>
      <w:tr w14:paraId="4EC5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noWrap w:val="0"/>
            <w:vAlign w:val="top"/>
          </w:tcPr>
          <w:p w14:paraId="57499576">
            <w:pPr>
              <w:keepNext w:val="0"/>
              <w:keepLines w:val="0"/>
              <w:suppressLineNumbers w:val="0"/>
              <w:spacing w:before="0" w:beforeAutospacing="0" w:after="0" w:afterAutospacing="0"/>
              <w:ind w:left="0" w:right="0"/>
              <w:rPr>
                <w:rFonts w:hint="eastAsia"/>
                <w:sz w:val="28"/>
                <w:szCs w:val="28"/>
              </w:rPr>
            </w:pPr>
            <w:r>
              <w:rPr>
                <w:rFonts w:hint="eastAsia"/>
                <w:sz w:val="28"/>
                <w:szCs w:val="28"/>
              </w:rPr>
              <w:t>3</w:t>
            </w:r>
          </w:p>
        </w:tc>
        <w:tc>
          <w:tcPr>
            <w:tcW w:w="2409" w:type="dxa"/>
            <w:shd w:val="clear" w:color="auto" w:fill="auto"/>
            <w:noWrap w:val="0"/>
            <w:vAlign w:val="top"/>
          </w:tcPr>
          <w:p w14:paraId="744297B3">
            <w:pPr>
              <w:keepNext w:val="0"/>
              <w:keepLines w:val="0"/>
              <w:suppressLineNumbers w:val="0"/>
              <w:spacing w:before="0" w:beforeAutospacing="0" w:after="0" w:afterAutospacing="0"/>
              <w:ind w:left="0" w:right="0"/>
              <w:rPr>
                <w:rFonts w:hint="eastAsia"/>
                <w:sz w:val="28"/>
                <w:szCs w:val="28"/>
              </w:rPr>
            </w:pPr>
            <w:r>
              <w:rPr>
                <w:rFonts w:hint="eastAsia"/>
                <w:sz w:val="28"/>
                <w:szCs w:val="28"/>
              </w:rPr>
              <w:t>术语和定义</w:t>
            </w:r>
          </w:p>
        </w:tc>
        <w:tc>
          <w:tcPr>
            <w:tcW w:w="5012" w:type="dxa"/>
            <w:shd w:val="clear" w:color="auto" w:fill="auto"/>
            <w:noWrap w:val="0"/>
            <w:vAlign w:val="top"/>
          </w:tcPr>
          <w:p w14:paraId="5C5B1A11">
            <w:pPr>
              <w:keepNext w:val="0"/>
              <w:keepLines w:val="0"/>
              <w:suppressLineNumbers w:val="0"/>
              <w:spacing w:before="0" w:beforeAutospacing="0" w:after="0" w:afterAutospacing="0"/>
              <w:ind w:left="0" w:right="0"/>
              <w:rPr>
                <w:rFonts w:hint="eastAsia"/>
                <w:sz w:val="28"/>
                <w:szCs w:val="28"/>
              </w:rPr>
            </w:pPr>
            <w:r>
              <w:rPr>
                <w:rFonts w:hint="eastAsia"/>
                <w:sz w:val="28"/>
                <w:szCs w:val="28"/>
              </w:rPr>
              <w:t>列出了</w:t>
            </w:r>
            <w:r>
              <w:rPr>
                <w:rFonts w:hint="eastAsia"/>
                <w:sz w:val="28"/>
                <w:szCs w:val="28"/>
                <w:lang w:val="en-US" w:eastAsia="zh-CN"/>
              </w:rPr>
              <w:t>慢性呼吸衰竭、中医证候、主症、次症</w:t>
            </w:r>
            <w:r>
              <w:rPr>
                <w:rFonts w:hint="eastAsia"/>
                <w:sz w:val="28"/>
                <w:szCs w:val="28"/>
              </w:rPr>
              <w:t>的定义。</w:t>
            </w:r>
          </w:p>
        </w:tc>
      </w:tr>
      <w:tr w14:paraId="361C3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noWrap w:val="0"/>
            <w:vAlign w:val="top"/>
          </w:tcPr>
          <w:p w14:paraId="6A4FEA63">
            <w:pPr>
              <w:keepNext w:val="0"/>
              <w:keepLines w:val="0"/>
              <w:suppressLineNumbers w:val="0"/>
              <w:spacing w:before="0" w:beforeAutospacing="0" w:after="0" w:afterAutospacing="0"/>
              <w:ind w:left="0" w:right="0"/>
              <w:rPr>
                <w:rFonts w:hint="eastAsia"/>
                <w:sz w:val="28"/>
                <w:szCs w:val="28"/>
              </w:rPr>
            </w:pPr>
            <w:r>
              <w:rPr>
                <w:rFonts w:hint="eastAsia"/>
                <w:sz w:val="28"/>
                <w:szCs w:val="28"/>
              </w:rPr>
              <w:t>4</w:t>
            </w:r>
          </w:p>
        </w:tc>
        <w:tc>
          <w:tcPr>
            <w:tcW w:w="2409" w:type="dxa"/>
            <w:shd w:val="clear" w:color="auto" w:fill="auto"/>
            <w:noWrap w:val="0"/>
            <w:vAlign w:val="top"/>
          </w:tcPr>
          <w:p w14:paraId="60D8CBDA">
            <w:pPr>
              <w:keepNext w:val="0"/>
              <w:keepLines w:val="0"/>
              <w:suppressLineNumbers w:val="0"/>
              <w:spacing w:before="0" w:beforeAutospacing="0" w:after="0" w:afterAutospacing="0"/>
              <w:ind w:left="0" w:right="0"/>
              <w:rPr>
                <w:rFonts w:hint="default" w:eastAsiaTheme="minorEastAsia"/>
                <w:sz w:val="28"/>
                <w:szCs w:val="28"/>
                <w:lang w:val="en-US" w:eastAsia="zh-CN"/>
              </w:rPr>
            </w:pPr>
            <w:r>
              <w:rPr>
                <w:rFonts w:hint="eastAsia"/>
                <w:sz w:val="28"/>
                <w:szCs w:val="28"/>
                <w:lang w:val="en-US" w:eastAsia="zh-CN"/>
              </w:rPr>
              <w:t>中医证候分类与辨识</w:t>
            </w:r>
          </w:p>
        </w:tc>
        <w:tc>
          <w:tcPr>
            <w:tcW w:w="5012" w:type="dxa"/>
            <w:shd w:val="clear" w:color="auto" w:fill="auto"/>
            <w:noWrap w:val="0"/>
            <w:vAlign w:val="top"/>
          </w:tcPr>
          <w:p w14:paraId="6D7A76EA">
            <w:pPr>
              <w:keepNext w:val="0"/>
              <w:keepLines w:val="0"/>
              <w:suppressLineNumbers w:val="0"/>
              <w:spacing w:before="0" w:beforeAutospacing="0" w:after="0" w:afterAutospacing="0"/>
              <w:ind w:left="0" w:right="0"/>
              <w:rPr>
                <w:rFonts w:hint="default" w:eastAsiaTheme="minorEastAsia"/>
                <w:sz w:val="28"/>
                <w:szCs w:val="28"/>
                <w:lang w:val="en-US" w:eastAsia="zh-CN"/>
              </w:rPr>
            </w:pPr>
            <w:r>
              <w:rPr>
                <w:rFonts w:hint="eastAsia"/>
                <w:sz w:val="28"/>
                <w:szCs w:val="28"/>
                <w:lang w:val="en-US" w:eastAsia="zh-CN"/>
              </w:rPr>
              <w:t>列出了岭南地区慢性呼吸衰竭患者常见的中医证候及其主症、次症。</w:t>
            </w:r>
          </w:p>
        </w:tc>
      </w:tr>
      <w:tr w14:paraId="55888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noWrap w:val="0"/>
            <w:vAlign w:val="top"/>
          </w:tcPr>
          <w:p w14:paraId="2D633BA9">
            <w:pPr>
              <w:keepNext w:val="0"/>
              <w:keepLines w:val="0"/>
              <w:suppressLineNumbers w:val="0"/>
              <w:spacing w:before="0" w:beforeAutospacing="0" w:after="0" w:afterAutospacing="0"/>
              <w:ind w:left="0" w:right="0"/>
              <w:rPr>
                <w:rFonts w:hint="eastAsia"/>
                <w:sz w:val="28"/>
                <w:szCs w:val="28"/>
              </w:rPr>
            </w:pPr>
            <w:r>
              <w:rPr>
                <w:rFonts w:hint="eastAsia"/>
                <w:sz w:val="28"/>
                <w:szCs w:val="28"/>
              </w:rPr>
              <w:t>5</w:t>
            </w:r>
          </w:p>
        </w:tc>
        <w:tc>
          <w:tcPr>
            <w:tcW w:w="2409" w:type="dxa"/>
            <w:shd w:val="clear" w:color="auto" w:fill="auto"/>
            <w:noWrap w:val="0"/>
            <w:vAlign w:val="top"/>
          </w:tcPr>
          <w:p w14:paraId="1952C93D">
            <w:pPr>
              <w:keepNext w:val="0"/>
              <w:keepLines w:val="0"/>
              <w:suppressLineNumbers w:val="0"/>
              <w:spacing w:before="0" w:beforeAutospacing="0" w:after="0" w:afterAutospacing="0"/>
              <w:ind w:left="0" w:right="0"/>
              <w:rPr>
                <w:rFonts w:hint="default" w:eastAsiaTheme="minorEastAsia"/>
                <w:sz w:val="28"/>
                <w:szCs w:val="28"/>
                <w:lang w:val="en-US" w:eastAsia="zh-CN"/>
              </w:rPr>
            </w:pPr>
            <w:r>
              <w:rPr>
                <w:rFonts w:hint="eastAsia"/>
                <w:sz w:val="28"/>
                <w:szCs w:val="28"/>
                <w:lang w:val="en-US" w:eastAsia="zh-CN"/>
              </w:rPr>
              <w:t>治疗原则</w:t>
            </w:r>
          </w:p>
        </w:tc>
        <w:tc>
          <w:tcPr>
            <w:tcW w:w="5012" w:type="dxa"/>
            <w:shd w:val="clear" w:color="auto" w:fill="auto"/>
            <w:noWrap w:val="0"/>
            <w:vAlign w:val="top"/>
          </w:tcPr>
          <w:p w14:paraId="3DE83447">
            <w:pPr>
              <w:keepNext w:val="0"/>
              <w:keepLines w:val="0"/>
              <w:suppressLineNumbers w:val="0"/>
              <w:spacing w:before="0" w:beforeAutospacing="0" w:after="0" w:afterAutospacing="0"/>
              <w:ind w:left="0" w:right="0"/>
              <w:rPr>
                <w:rFonts w:hint="eastAsia" w:eastAsiaTheme="minorEastAsia"/>
                <w:sz w:val="28"/>
                <w:szCs w:val="28"/>
                <w:lang w:eastAsia="zh-CN"/>
              </w:rPr>
            </w:pPr>
            <w:r>
              <w:rPr>
                <w:rFonts w:hint="eastAsia"/>
                <w:sz w:val="28"/>
                <w:szCs w:val="28"/>
                <w:lang w:val="en-US" w:eastAsia="zh-CN"/>
              </w:rPr>
              <w:t>治疗原则包括“</w:t>
            </w:r>
            <w:r>
              <w:rPr>
                <w:rFonts w:hint="eastAsia" w:ascii="宋体" w:hAnsi="宋体" w:eastAsia="宋体" w:cs="Times New Roman"/>
                <w:color w:val="000000"/>
                <w:sz w:val="28"/>
                <w:szCs w:val="28"/>
                <w:lang w:val="en-US" w:eastAsia="zh-CN"/>
              </w:rPr>
              <w:t>因人制宜</w:t>
            </w:r>
            <w:r>
              <w:rPr>
                <w:rFonts w:hint="eastAsia"/>
                <w:sz w:val="28"/>
                <w:szCs w:val="28"/>
              </w:rPr>
              <w:t>，辨证施膳</w:t>
            </w:r>
            <w:r>
              <w:rPr>
                <w:rFonts w:hint="eastAsia"/>
                <w:sz w:val="28"/>
                <w:szCs w:val="28"/>
                <w:lang w:eastAsia="zh-CN"/>
              </w:rPr>
              <w:t>”、“因时制宜，分季调理”、“因地制宜，合理搭配”、“会看慧选，免犯禁忌”、“审需辨积，循序渐进”。</w:t>
            </w:r>
          </w:p>
        </w:tc>
      </w:tr>
      <w:tr w14:paraId="2F785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noWrap w:val="0"/>
            <w:vAlign w:val="top"/>
          </w:tcPr>
          <w:p w14:paraId="4DBC2410">
            <w:pPr>
              <w:keepNext w:val="0"/>
              <w:keepLines w:val="0"/>
              <w:suppressLineNumbers w:val="0"/>
              <w:spacing w:before="0" w:beforeAutospacing="0" w:after="0" w:afterAutospacing="0"/>
              <w:ind w:left="0" w:right="0"/>
              <w:rPr>
                <w:rFonts w:hint="eastAsia"/>
                <w:sz w:val="28"/>
                <w:szCs w:val="28"/>
              </w:rPr>
            </w:pPr>
            <w:r>
              <w:rPr>
                <w:rFonts w:hint="eastAsia"/>
                <w:sz w:val="28"/>
                <w:szCs w:val="28"/>
              </w:rPr>
              <w:t>6</w:t>
            </w:r>
          </w:p>
        </w:tc>
        <w:tc>
          <w:tcPr>
            <w:tcW w:w="2409" w:type="dxa"/>
            <w:shd w:val="clear" w:color="auto" w:fill="auto"/>
            <w:noWrap w:val="0"/>
            <w:vAlign w:val="top"/>
          </w:tcPr>
          <w:p w14:paraId="586DC351">
            <w:pPr>
              <w:keepNext w:val="0"/>
              <w:keepLines w:val="0"/>
              <w:suppressLineNumbers w:val="0"/>
              <w:spacing w:before="0" w:beforeAutospacing="0" w:after="0" w:afterAutospacing="0"/>
              <w:ind w:left="0" w:right="0"/>
              <w:rPr>
                <w:rFonts w:hint="default" w:eastAsiaTheme="minorEastAsia"/>
                <w:sz w:val="28"/>
                <w:szCs w:val="28"/>
                <w:lang w:val="en-US" w:eastAsia="zh-CN"/>
              </w:rPr>
            </w:pPr>
            <w:r>
              <w:rPr>
                <w:rFonts w:hint="eastAsia"/>
                <w:sz w:val="28"/>
                <w:szCs w:val="28"/>
                <w:lang w:val="en-US" w:eastAsia="zh-CN"/>
              </w:rPr>
              <w:t>膳食推荐</w:t>
            </w:r>
          </w:p>
        </w:tc>
        <w:tc>
          <w:tcPr>
            <w:tcW w:w="5012" w:type="dxa"/>
            <w:shd w:val="clear" w:color="auto" w:fill="auto"/>
            <w:noWrap w:val="0"/>
            <w:vAlign w:val="top"/>
          </w:tcPr>
          <w:p w14:paraId="637DAB68">
            <w:pPr>
              <w:keepNext w:val="0"/>
              <w:keepLines w:val="0"/>
              <w:suppressLineNumbers w:val="0"/>
              <w:spacing w:before="0" w:beforeAutospacing="0" w:after="0" w:afterAutospacing="0"/>
              <w:ind w:left="0" w:right="0"/>
              <w:rPr>
                <w:rFonts w:hint="eastAsia"/>
                <w:sz w:val="28"/>
                <w:szCs w:val="28"/>
              </w:rPr>
            </w:pPr>
            <w:r>
              <w:rPr>
                <w:rFonts w:hint="eastAsia"/>
                <w:sz w:val="28"/>
                <w:szCs w:val="28"/>
                <w:lang w:eastAsia="zh-CN"/>
              </w:rPr>
              <w:t>《</w:t>
            </w:r>
            <w:r>
              <w:rPr>
                <w:rFonts w:hint="eastAsia"/>
                <w:sz w:val="28"/>
                <w:szCs w:val="28"/>
              </w:rPr>
              <w:t>中医膳食推荐表</w:t>
            </w:r>
            <w:r>
              <w:rPr>
                <w:rFonts w:hint="eastAsia"/>
                <w:sz w:val="28"/>
                <w:szCs w:val="28"/>
                <w:lang w:eastAsia="zh-CN"/>
              </w:rPr>
              <w:t>》（</w:t>
            </w:r>
            <w:r>
              <w:rPr>
                <w:rFonts w:hint="eastAsia"/>
                <w:sz w:val="28"/>
                <w:szCs w:val="28"/>
                <w:lang w:val="en-US" w:eastAsia="zh-CN"/>
              </w:rPr>
              <w:t>表 1</w:t>
            </w:r>
            <w:r>
              <w:rPr>
                <w:rFonts w:hint="eastAsia"/>
                <w:sz w:val="28"/>
                <w:szCs w:val="28"/>
                <w:lang w:eastAsia="zh-CN"/>
              </w:rPr>
              <w:t>）</w:t>
            </w:r>
            <w:r>
              <w:rPr>
                <w:rFonts w:hint="eastAsia"/>
                <w:sz w:val="28"/>
                <w:szCs w:val="28"/>
              </w:rPr>
              <w:t>分列为入膳中药推荐、药膳推荐、点餐建议、注意事项四部分</w:t>
            </w:r>
            <w:r>
              <w:rPr>
                <w:rFonts w:hint="eastAsia"/>
                <w:sz w:val="28"/>
                <w:szCs w:val="28"/>
                <w:lang w:eastAsia="zh-CN"/>
              </w:rPr>
              <w:t>。</w:t>
            </w:r>
            <w:r>
              <w:rPr>
                <w:rFonts w:hint="eastAsia"/>
                <w:sz w:val="28"/>
                <w:szCs w:val="28"/>
                <w:lang w:val="en-US" w:eastAsia="zh-CN"/>
              </w:rPr>
              <w:t>在</w:t>
            </w:r>
            <w:r>
              <w:rPr>
                <w:rFonts w:hint="eastAsia"/>
                <w:sz w:val="28"/>
                <w:szCs w:val="28"/>
              </w:rPr>
              <w:t>附录B</w:t>
            </w:r>
            <w:r>
              <w:rPr>
                <w:rFonts w:hint="eastAsia"/>
                <w:sz w:val="28"/>
                <w:szCs w:val="28"/>
                <w:lang w:val="en-US" w:eastAsia="zh-CN"/>
              </w:rPr>
              <w:t>可</w:t>
            </w:r>
            <w:r>
              <w:rPr>
                <w:rFonts w:hint="eastAsia"/>
                <w:sz w:val="28"/>
                <w:szCs w:val="28"/>
              </w:rPr>
              <w:t>找到</w:t>
            </w:r>
            <w:r>
              <w:rPr>
                <w:rFonts w:hint="eastAsia"/>
                <w:sz w:val="28"/>
                <w:szCs w:val="28"/>
                <w:lang w:val="en-US" w:eastAsia="zh-CN"/>
              </w:rPr>
              <w:t>表 1的详细信息</w:t>
            </w:r>
            <w:r>
              <w:rPr>
                <w:rFonts w:hint="eastAsia"/>
                <w:sz w:val="28"/>
                <w:szCs w:val="28"/>
              </w:rPr>
              <w:t>详细的信息。附录C对使用中医膳食推荐方案时可能遇到的常见问题进行了说明。</w:t>
            </w:r>
          </w:p>
        </w:tc>
      </w:tr>
      <w:tr w14:paraId="7C0BF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noWrap w:val="0"/>
            <w:vAlign w:val="top"/>
          </w:tcPr>
          <w:p w14:paraId="2326897B">
            <w:pPr>
              <w:keepNext w:val="0"/>
              <w:keepLines w:val="0"/>
              <w:suppressLineNumbers w:val="0"/>
              <w:spacing w:before="0" w:beforeAutospacing="0" w:after="0" w:afterAutospacing="0"/>
              <w:ind w:left="0" w:right="0"/>
              <w:rPr>
                <w:rFonts w:hint="eastAsia"/>
                <w:sz w:val="28"/>
                <w:szCs w:val="28"/>
              </w:rPr>
            </w:pPr>
            <w:r>
              <w:rPr>
                <w:rFonts w:hint="eastAsia"/>
                <w:sz w:val="28"/>
                <w:szCs w:val="28"/>
              </w:rPr>
              <w:t>7</w:t>
            </w:r>
          </w:p>
        </w:tc>
        <w:tc>
          <w:tcPr>
            <w:tcW w:w="2409" w:type="dxa"/>
            <w:shd w:val="clear" w:color="auto" w:fill="auto"/>
            <w:noWrap w:val="0"/>
            <w:vAlign w:val="top"/>
          </w:tcPr>
          <w:p w14:paraId="569CE559">
            <w:pPr>
              <w:keepNext w:val="0"/>
              <w:keepLines w:val="0"/>
              <w:suppressLineNumbers w:val="0"/>
              <w:spacing w:before="0" w:beforeAutospacing="0" w:after="0" w:afterAutospacing="0"/>
              <w:ind w:left="0" w:right="0"/>
              <w:rPr>
                <w:rFonts w:hint="default" w:eastAsiaTheme="minorEastAsia"/>
                <w:sz w:val="28"/>
                <w:szCs w:val="28"/>
                <w:lang w:val="en-US" w:eastAsia="zh-CN"/>
              </w:rPr>
            </w:pPr>
            <w:r>
              <w:rPr>
                <w:rFonts w:hint="eastAsia"/>
                <w:sz w:val="28"/>
                <w:szCs w:val="28"/>
                <w:lang w:val="en-US" w:eastAsia="zh-CN"/>
              </w:rPr>
              <w:t>膳食管理小组</w:t>
            </w:r>
          </w:p>
        </w:tc>
        <w:tc>
          <w:tcPr>
            <w:tcW w:w="5012" w:type="dxa"/>
            <w:shd w:val="clear" w:color="auto" w:fill="auto"/>
            <w:noWrap w:val="0"/>
            <w:vAlign w:val="top"/>
          </w:tcPr>
          <w:p w14:paraId="20034A85">
            <w:pPr>
              <w:keepNext w:val="0"/>
              <w:keepLines w:val="0"/>
              <w:suppressLineNumbers w:val="0"/>
              <w:spacing w:before="0" w:beforeAutospacing="0" w:after="0" w:afterAutospacing="0"/>
              <w:ind w:left="0" w:right="0"/>
              <w:rPr>
                <w:rFonts w:hint="default" w:eastAsiaTheme="minorEastAsia"/>
                <w:sz w:val="28"/>
                <w:szCs w:val="28"/>
                <w:lang w:val="en-US" w:eastAsia="zh-CN"/>
              </w:rPr>
            </w:pPr>
            <w:r>
              <w:rPr>
                <w:rFonts w:hint="eastAsia"/>
                <w:sz w:val="28"/>
                <w:szCs w:val="28"/>
              </w:rPr>
              <w:t>成立膳食管理小组</w:t>
            </w:r>
            <w:r>
              <w:rPr>
                <w:rFonts w:hint="eastAsia"/>
                <w:sz w:val="28"/>
                <w:szCs w:val="28"/>
                <w:lang w:val="en-US" w:eastAsia="zh-CN"/>
              </w:rPr>
              <w:t>以“医院-社区-家庭”干预模式</w:t>
            </w:r>
            <w:r>
              <w:rPr>
                <w:rFonts w:hint="eastAsia"/>
                <w:sz w:val="28"/>
                <w:szCs w:val="28"/>
              </w:rPr>
              <w:t>落实膳食方案</w:t>
            </w:r>
            <w:r>
              <w:rPr>
                <w:rFonts w:hint="eastAsia"/>
                <w:sz w:val="28"/>
                <w:szCs w:val="28"/>
                <w:lang w:eastAsia="zh-CN"/>
              </w:rPr>
              <w:t>。</w:t>
            </w:r>
            <w:r>
              <w:rPr>
                <w:rFonts w:hint="eastAsia"/>
                <w:sz w:val="28"/>
                <w:szCs w:val="28"/>
                <w:lang w:val="en-US" w:eastAsia="zh-CN"/>
              </w:rPr>
              <w:t>列出了小组成员及其职责、小组工作流程。</w:t>
            </w:r>
          </w:p>
        </w:tc>
      </w:tr>
      <w:tr w14:paraId="0C0B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noWrap w:val="0"/>
            <w:vAlign w:val="top"/>
          </w:tcPr>
          <w:p w14:paraId="30165C42">
            <w:pPr>
              <w:keepNext w:val="0"/>
              <w:keepLines w:val="0"/>
              <w:suppressLineNumbers w:val="0"/>
              <w:spacing w:before="0" w:beforeAutospacing="0" w:after="0" w:afterAutospacing="0"/>
              <w:ind w:left="0" w:right="0"/>
              <w:rPr>
                <w:rFonts w:hint="eastAsia"/>
                <w:sz w:val="28"/>
                <w:szCs w:val="28"/>
              </w:rPr>
            </w:pPr>
            <w:r>
              <w:rPr>
                <w:rFonts w:hint="eastAsia"/>
                <w:sz w:val="28"/>
                <w:szCs w:val="28"/>
              </w:rPr>
              <w:t>8</w:t>
            </w:r>
          </w:p>
        </w:tc>
        <w:tc>
          <w:tcPr>
            <w:tcW w:w="2409" w:type="dxa"/>
            <w:shd w:val="clear" w:color="auto" w:fill="auto"/>
            <w:noWrap w:val="0"/>
            <w:vAlign w:val="top"/>
          </w:tcPr>
          <w:p w14:paraId="6532AE9C">
            <w:pPr>
              <w:keepNext w:val="0"/>
              <w:keepLines w:val="0"/>
              <w:suppressLineNumbers w:val="0"/>
              <w:spacing w:before="0" w:beforeAutospacing="0" w:after="0" w:afterAutospacing="0"/>
              <w:ind w:left="0" w:right="0"/>
              <w:rPr>
                <w:rFonts w:hint="default" w:eastAsiaTheme="minorEastAsia"/>
                <w:sz w:val="28"/>
                <w:szCs w:val="28"/>
                <w:lang w:val="en-US" w:eastAsia="zh-CN"/>
              </w:rPr>
            </w:pPr>
            <w:r>
              <w:rPr>
                <w:rFonts w:hint="eastAsia"/>
                <w:sz w:val="28"/>
                <w:szCs w:val="28"/>
                <w:lang w:val="en-US" w:eastAsia="zh-CN"/>
              </w:rPr>
              <w:t>评估与监测</w:t>
            </w:r>
          </w:p>
        </w:tc>
        <w:tc>
          <w:tcPr>
            <w:tcW w:w="5012" w:type="dxa"/>
            <w:shd w:val="clear" w:color="auto" w:fill="auto"/>
            <w:noWrap w:val="0"/>
            <w:vAlign w:val="top"/>
          </w:tcPr>
          <w:p w14:paraId="67091F5D">
            <w:pPr>
              <w:keepNext w:val="0"/>
              <w:keepLines w:val="0"/>
              <w:suppressLineNumbers w:val="0"/>
              <w:spacing w:before="0" w:beforeAutospacing="0" w:after="0" w:afterAutospacing="0"/>
              <w:ind w:left="0" w:right="0"/>
              <w:rPr>
                <w:rFonts w:hint="eastAsia"/>
                <w:sz w:val="28"/>
                <w:szCs w:val="28"/>
              </w:rPr>
            </w:pPr>
            <w:r>
              <w:rPr>
                <w:rFonts w:hint="eastAsia"/>
                <w:sz w:val="28"/>
                <w:szCs w:val="28"/>
                <w:lang w:val="en-US" w:eastAsia="zh-CN"/>
              </w:rPr>
              <w:t>列出了评估的目的、评估的时间、病情评估及监测、营养评估及监测的内容</w:t>
            </w:r>
            <w:r>
              <w:rPr>
                <w:rFonts w:hint="eastAsia"/>
                <w:sz w:val="28"/>
                <w:szCs w:val="28"/>
              </w:rPr>
              <w:t>。</w:t>
            </w:r>
          </w:p>
        </w:tc>
      </w:tr>
      <w:tr w14:paraId="17385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noWrap w:val="0"/>
            <w:vAlign w:val="top"/>
          </w:tcPr>
          <w:p w14:paraId="3996D73C">
            <w:pPr>
              <w:keepNext w:val="0"/>
              <w:keepLines w:val="0"/>
              <w:suppressLineNumbers w:val="0"/>
              <w:spacing w:before="0" w:beforeAutospacing="0" w:after="0" w:afterAutospacing="0"/>
              <w:ind w:left="0" w:right="0"/>
              <w:rPr>
                <w:rFonts w:hint="eastAsia"/>
                <w:sz w:val="28"/>
                <w:szCs w:val="28"/>
              </w:rPr>
            </w:pPr>
            <w:r>
              <w:rPr>
                <w:rFonts w:hint="eastAsia"/>
                <w:sz w:val="28"/>
                <w:szCs w:val="28"/>
              </w:rPr>
              <w:t>9</w:t>
            </w:r>
          </w:p>
        </w:tc>
        <w:tc>
          <w:tcPr>
            <w:tcW w:w="2409" w:type="dxa"/>
            <w:shd w:val="clear" w:color="auto" w:fill="auto"/>
            <w:noWrap w:val="0"/>
            <w:vAlign w:val="top"/>
          </w:tcPr>
          <w:p w14:paraId="68656452">
            <w:pPr>
              <w:keepNext w:val="0"/>
              <w:keepLines w:val="0"/>
              <w:suppressLineNumbers w:val="0"/>
              <w:spacing w:before="0" w:beforeAutospacing="0" w:after="0" w:afterAutospacing="0"/>
              <w:ind w:left="0" w:right="0"/>
              <w:rPr>
                <w:rFonts w:hint="eastAsia"/>
                <w:sz w:val="28"/>
                <w:szCs w:val="28"/>
              </w:rPr>
            </w:pPr>
            <w:r>
              <w:rPr>
                <w:rFonts w:hint="eastAsia"/>
                <w:sz w:val="28"/>
                <w:szCs w:val="28"/>
              </w:rPr>
              <w:t>针对患者或患者家属的膳食宣教</w:t>
            </w:r>
          </w:p>
        </w:tc>
        <w:tc>
          <w:tcPr>
            <w:tcW w:w="5012" w:type="dxa"/>
            <w:shd w:val="clear" w:color="auto" w:fill="auto"/>
            <w:noWrap w:val="0"/>
            <w:vAlign w:val="top"/>
          </w:tcPr>
          <w:p w14:paraId="00E63138">
            <w:pPr>
              <w:keepNext w:val="0"/>
              <w:keepLines w:val="0"/>
              <w:suppressLineNumbers w:val="0"/>
              <w:spacing w:before="0" w:beforeAutospacing="0" w:after="0" w:afterAutospacing="0"/>
              <w:ind w:left="0" w:right="0"/>
              <w:rPr>
                <w:rFonts w:hint="eastAsia"/>
                <w:sz w:val="28"/>
                <w:szCs w:val="28"/>
              </w:rPr>
            </w:pPr>
            <w:r>
              <w:rPr>
                <w:rFonts w:hint="eastAsia"/>
                <w:sz w:val="28"/>
                <w:szCs w:val="28"/>
                <w:lang w:val="en-US" w:eastAsia="zh-CN"/>
              </w:rPr>
              <w:t>介绍了膳食宣教的开展方式、课程内容及推荐的宣教频率</w:t>
            </w:r>
            <w:r>
              <w:rPr>
                <w:rFonts w:hint="eastAsia"/>
                <w:sz w:val="28"/>
                <w:szCs w:val="28"/>
              </w:rPr>
              <w:t>。</w:t>
            </w:r>
          </w:p>
        </w:tc>
      </w:tr>
    </w:tbl>
    <w:p w14:paraId="01DFEAEC">
      <w:pPr>
        <w:snapToGrid w:val="0"/>
        <w:spacing w:line="360" w:lineRule="auto"/>
        <w:ind w:firstLine="560" w:firstLineChars="200"/>
        <w:rPr>
          <w:rFonts w:hint="default" w:ascii="宋体" w:hAnsi="宋体" w:eastAsia="宋体" w:cs="Times New Roman"/>
          <w:sz w:val="28"/>
          <w:szCs w:val="28"/>
          <w:lang w:val="en-US" w:eastAsia="zh-CN"/>
        </w:rPr>
      </w:pPr>
    </w:p>
    <w:p w14:paraId="1DC57BAF">
      <w:pPr>
        <w:pStyle w:val="3"/>
        <w:numPr>
          <w:ilvl w:val="0"/>
          <w:numId w:val="3"/>
        </w:numPr>
        <w:ind w:left="0" w:leftChars="0" w:firstLine="562" w:firstLineChars="200"/>
      </w:pPr>
      <w:bookmarkStart w:id="2" w:name="_Toc192169709"/>
      <w:r>
        <w:t>标准主要内容确定依据</w:t>
      </w:r>
      <w:bookmarkEnd w:id="2"/>
    </w:p>
    <w:p w14:paraId="3AD60C22">
      <w:pPr>
        <w:numPr>
          <w:ilvl w:val="0"/>
          <w:numId w:val="4"/>
        </w:numPr>
        <w:ind w:firstLine="562" w:firstLineChars="200"/>
        <w:rPr>
          <w:rFonts w:hint="eastAsia"/>
          <w:b/>
          <w:bCs/>
          <w:sz w:val="28"/>
          <w:szCs w:val="28"/>
          <w:lang w:val="en-US" w:eastAsia="zh-CN"/>
        </w:rPr>
      </w:pPr>
      <w:r>
        <w:rPr>
          <w:rFonts w:hint="eastAsia"/>
          <w:b/>
          <w:bCs/>
          <w:sz w:val="28"/>
          <w:szCs w:val="28"/>
          <w:lang w:val="en-US" w:eastAsia="zh-CN"/>
        </w:rPr>
        <w:t>标准编制过程依据的法律法规及政策文件</w:t>
      </w:r>
    </w:p>
    <w:p w14:paraId="24611168">
      <w:pPr>
        <w:numPr>
          <w:ilvl w:val="0"/>
          <w:numId w:val="5"/>
        </w:numPr>
        <w:ind w:firstLine="560"/>
        <w:rPr>
          <w:rFonts w:hint="eastAsia"/>
          <w:sz w:val="28"/>
          <w:szCs w:val="28"/>
          <w:lang w:val="en-US" w:eastAsia="zh-CN"/>
        </w:rPr>
      </w:pPr>
      <w:r>
        <w:rPr>
          <w:rFonts w:hint="eastAsia"/>
          <w:sz w:val="28"/>
          <w:szCs w:val="28"/>
          <w:lang w:val="en-US" w:eastAsia="zh-CN"/>
        </w:rPr>
        <w:t>内地：《中华人民共和国标准化法》、《中华人民共和国中医药法》、《中华人民共和国药品管理法》、《中华人民共和国食品安全法》、《粤港澳大湾区发展规划纲要》、《广东省中医药条例》。</w:t>
      </w:r>
    </w:p>
    <w:p w14:paraId="689FC10B">
      <w:pPr>
        <w:numPr>
          <w:ilvl w:val="0"/>
          <w:numId w:val="5"/>
        </w:numPr>
        <w:ind w:firstLine="560"/>
        <w:rPr>
          <w:rFonts w:hint="default"/>
          <w:sz w:val="28"/>
          <w:szCs w:val="28"/>
          <w:lang w:val="en-US" w:eastAsia="zh-CN"/>
        </w:rPr>
      </w:pPr>
      <w:r>
        <w:rPr>
          <w:rFonts w:hint="eastAsia"/>
          <w:sz w:val="28"/>
          <w:szCs w:val="28"/>
          <w:lang w:val="en-US" w:eastAsia="zh-CN"/>
        </w:rPr>
        <w:t>香港：《中医药条例》（第</w:t>
      </w:r>
      <w:r>
        <w:rPr>
          <w:rFonts w:hint="eastAsia" w:ascii="宋体" w:hAnsi="宋体" w:eastAsia="宋体" w:cs="Times New Roman"/>
          <w:color w:val="000000"/>
          <w:sz w:val="28"/>
          <w:szCs w:val="28"/>
          <w:lang w:val="en-US" w:eastAsia="zh-CN"/>
        </w:rPr>
        <w:t>549</w:t>
      </w:r>
      <w:r>
        <w:rPr>
          <w:rFonts w:hint="eastAsia"/>
          <w:sz w:val="28"/>
          <w:szCs w:val="28"/>
          <w:lang w:val="en-US" w:eastAsia="zh-CN"/>
        </w:rPr>
        <w:t>条）、《公众卫生及市政条例》（第132章）、《保护濒危动植物物种条例》（第</w:t>
      </w:r>
      <w:r>
        <w:rPr>
          <w:rFonts w:hint="eastAsia" w:ascii="宋体" w:hAnsi="宋体" w:eastAsia="宋体" w:cs="Times New Roman"/>
          <w:color w:val="000000"/>
          <w:sz w:val="28"/>
          <w:szCs w:val="28"/>
          <w:lang w:val="en-US" w:eastAsia="zh-CN"/>
        </w:rPr>
        <w:t>586</w:t>
      </w:r>
      <w:r>
        <w:rPr>
          <w:rFonts w:hint="eastAsia"/>
          <w:sz w:val="28"/>
          <w:szCs w:val="28"/>
          <w:lang w:val="en-US" w:eastAsia="zh-CN"/>
        </w:rPr>
        <w:t>章）</w:t>
      </w:r>
    </w:p>
    <w:p w14:paraId="16C11E18">
      <w:pPr>
        <w:numPr>
          <w:ilvl w:val="0"/>
          <w:numId w:val="5"/>
        </w:numPr>
        <w:ind w:firstLine="560"/>
        <w:rPr>
          <w:rFonts w:hint="default"/>
          <w:sz w:val="28"/>
          <w:szCs w:val="28"/>
          <w:lang w:val="en-US" w:eastAsia="zh-CN"/>
        </w:rPr>
      </w:pPr>
      <w:r>
        <w:rPr>
          <w:rFonts w:hint="eastAsia"/>
          <w:sz w:val="28"/>
          <w:szCs w:val="28"/>
          <w:lang w:val="en-US" w:eastAsia="zh-CN"/>
        </w:rPr>
        <w:t>澳门：第</w:t>
      </w:r>
      <w:r>
        <w:rPr>
          <w:rFonts w:hint="eastAsia" w:ascii="宋体" w:hAnsi="宋体" w:eastAsia="宋体" w:cs="Times New Roman"/>
          <w:color w:val="000000"/>
          <w:sz w:val="28"/>
          <w:szCs w:val="28"/>
          <w:lang w:val="en-US" w:eastAsia="zh-CN"/>
        </w:rPr>
        <w:t>11/2021</w:t>
      </w:r>
      <w:r>
        <w:rPr>
          <w:rFonts w:hint="eastAsia"/>
          <w:sz w:val="28"/>
          <w:szCs w:val="28"/>
          <w:lang w:val="en-US" w:eastAsia="zh-CN"/>
        </w:rPr>
        <w:t>号法律《中药药事活动及中成药注册法》、《澳门特别行政区所用中药材表》、第</w:t>
      </w:r>
      <w:r>
        <w:rPr>
          <w:rFonts w:hint="eastAsia" w:ascii="宋体" w:hAnsi="宋体" w:eastAsia="宋体" w:cs="Times New Roman"/>
          <w:color w:val="000000"/>
          <w:sz w:val="28"/>
          <w:szCs w:val="28"/>
          <w:lang w:val="en-US" w:eastAsia="zh-CN"/>
        </w:rPr>
        <w:t>35/2018</w:t>
      </w:r>
      <w:r>
        <w:rPr>
          <w:rFonts w:hint="eastAsia"/>
          <w:sz w:val="28"/>
          <w:szCs w:val="28"/>
          <w:lang w:val="en-US" w:eastAsia="zh-CN"/>
        </w:rPr>
        <w:t>号行政长官公告-命令公布《（内地与澳门关于建立更紧密经贸关系的安排）投资协议》及其附件及《（内地与澳门关于建立更紧密经贸关系的安排）经济技术合作协议》的正式中文文本。</w:t>
      </w:r>
    </w:p>
    <w:p w14:paraId="1F9B977B">
      <w:pPr>
        <w:numPr>
          <w:ilvl w:val="0"/>
          <w:numId w:val="4"/>
        </w:numPr>
        <w:ind w:firstLine="562" w:firstLineChars="200"/>
        <w:rPr>
          <w:rFonts w:hint="eastAsia"/>
          <w:b/>
          <w:bCs/>
          <w:sz w:val="28"/>
          <w:szCs w:val="28"/>
          <w:lang w:val="en-US" w:eastAsia="zh-CN"/>
        </w:rPr>
      </w:pPr>
      <w:r>
        <w:rPr>
          <w:rFonts w:hint="eastAsia"/>
          <w:b/>
          <w:bCs/>
          <w:sz w:val="28"/>
          <w:szCs w:val="28"/>
          <w:lang w:val="en-US" w:eastAsia="zh-CN"/>
        </w:rPr>
        <w:t>标准适用范围的确定依据</w:t>
      </w:r>
    </w:p>
    <w:p w14:paraId="48EE58B9">
      <w:pPr>
        <w:ind w:firstLine="560"/>
        <w:rPr>
          <w:rFonts w:hint="eastAsia"/>
          <w:sz w:val="28"/>
          <w:szCs w:val="28"/>
          <w:lang w:val="en-US" w:eastAsia="zh-CN"/>
        </w:rPr>
      </w:pPr>
      <w:r>
        <w:rPr>
          <w:rFonts w:hint="eastAsia"/>
          <w:sz w:val="28"/>
          <w:szCs w:val="28"/>
          <w:lang w:val="en-US" w:eastAsia="zh-CN"/>
        </w:rPr>
        <w:t>现今国内的医疗体系日趋完善，在院内开展中医膳食治疗已是常态，慢性呼吸衰竭患者是其中的目标人群之一。与此同时，民众对自我健康管理、中医膳食治疗的需求也越来越高，与之形成鲜明对比的是家庭中医膳食治疗难以开展或难以使患者获益。由于在岭南地区开展家庭中医膳食治疗有其独特优势，故此团队以岭南地区慢性呼吸衰竭患者为目标人群，构建以医护为主导的“医院-社区-家庭”的干预模式，通过落实家庭中医膳食治疗使</w:t>
      </w:r>
      <w:r>
        <w:rPr>
          <w:rFonts w:hint="eastAsia" w:ascii="宋体" w:hAnsi="宋体" w:eastAsia="宋体" w:cs="Times New Roman"/>
          <w:color w:val="000000"/>
          <w:sz w:val="28"/>
          <w:szCs w:val="28"/>
          <w:lang w:val="en-US" w:eastAsia="zh-CN"/>
        </w:rPr>
        <w:t>患者</w:t>
      </w:r>
      <w:r>
        <w:rPr>
          <w:rFonts w:hint="eastAsia"/>
          <w:sz w:val="28"/>
          <w:szCs w:val="28"/>
          <w:lang w:val="en-US" w:eastAsia="zh-CN"/>
        </w:rPr>
        <w:t>获益</w:t>
      </w:r>
      <w:r>
        <w:rPr>
          <w:rFonts w:hint="eastAsia"/>
          <w:sz w:val="28"/>
          <w:szCs w:val="28"/>
          <w:lang w:eastAsia="zh-CN"/>
        </w:rPr>
        <w:t>。</w:t>
      </w:r>
      <w:r>
        <w:rPr>
          <w:rFonts w:hint="eastAsia"/>
          <w:sz w:val="28"/>
          <w:szCs w:val="28"/>
          <w:lang w:val="en-US" w:eastAsia="zh-CN"/>
        </w:rPr>
        <w:t>但考虑到</w:t>
      </w:r>
      <w:r>
        <w:rPr>
          <w:rFonts w:hint="eastAsia"/>
          <w:sz w:val="28"/>
          <w:szCs w:val="28"/>
        </w:rPr>
        <w:t>未成年人、孕产妇</w:t>
      </w:r>
      <w:r>
        <w:rPr>
          <w:rFonts w:hint="eastAsia"/>
          <w:sz w:val="28"/>
          <w:szCs w:val="28"/>
          <w:lang w:eastAsia="zh-CN"/>
        </w:rPr>
        <w:t>、</w:t>
      </w:r>
      <w:r>
        <w:rPr>
          <w:rFonts w:hint="eastAsia"/>
          <w:sz w:val="28"/>
          <w:szCs w:val="28"/>
        </w:rPr>
        <w:t>哺乳期妇女</w:t>
      </w:r>
      <w:r>
        <w:rPr>
          <w:rFonts w:hint="eastAsia"/>
          <w:sz w:val="28"/>
          <w:szCs w:val="28"/>
          <w:lang w:eastAsia="zh-CN"/>
        </w:rPr>
        <w:t>、</w:t>
      </w:r>
      <w:r>
        <w:rPr>
          <w:rFonts w:hint="eastAsia"/>
          <w:sz w:val="28"/>
          <w:szCs w:val="28"/>
        </w:rPr>
        <w:t>体重指数（BMI）≥</w:t>
      </w:r>
      <w:r>
        <w:rPr>
          <w:rFonts w:hint="eastAsia" w:ascii="宋体" w:hAnsi="宋体" w:eastAsia="宋体" w:cs="Times New Roman"/>
          <w:color w:val="000000"/>
          <w:sz w:val="28"/>
          <w:szCs w:val="28"/>
          <w:lang w:val="en-US" w:eastAsia="zh-CN"/>
        </w:rPr>
        <w:t>32.5kg/m</w:t>
      </w:r>
      <w:r>
        <w:rPr>
          <w:rFonts w:hint="default" w:asciiTheme="minorAscii" w:hAnsiTheme="minorAscii" w:eastAsiaTheme="minorEastAsia"/>
          <w:sz w:val="28"/>
          <w:szCs w:val="28"/>
          <w:vertAlign w:val="superscript"/>
        </w:rPr>
        <w:t>2</w:t>
      </w:r>
      <w:r>
        <w:rPr>
          <w:rFonts w:hint="eastAsia"/>
          <w:sz w:val="28"/>
          <w:szCs w:val="28"/>
        </w:rPr>
        <w:t>的肥胖人群</w:t>
      </w:r>
      <w:r>
        <w:rPr>
          <w:rFonts w:hint="eastAsia"/>
          <w:sz w:val="28"/>
          <w:szCs w:val="28"/>
          <w:lang w:val="en-US" w:eastAsia="zh-CN"/>
        </w:rPr>
        <w:t>身体状况有其不容忽视的特殊性，而</w:t>
      </w:r>
      <w:r>
        <w:rPr>
          <w:rFonts w:hint="eastAsia" w:ascii="宋体" w:hAnsi="宋体" w:eastAsia="宋体" w:cs="Times New Roman"/>
          <w:sz w:val="28"/>
          <w:szCs w:val="28"/>
        </w:rPr>
        <w:t>有肠内营养禁忌症或不能耐受岭南饮食的患者、病情加重需住院的患者</w:t>
      </w:r>
      <w:r>
        <w:rPr>
          <w:rFonts w:hint="eastAsia" w:ascii="宋体" w:hAnsi="宋体" w:eastAsia="宋体" w:cs="Times New Roman"/>
          <w:sz w:val="28"/>
          <w:szCs w:val="28"/>
          <w:lang w:val="en-US" w:eastAsia="zh-CN"/>
        </w:rPr>
        <w:t>难以落实家庭中医膳食治疗，</w:t>
      </w:r>
      <w:r>
        <w:rPr>
          <w:rFonts w:hint="eastAsia"/>
          <w:sz w:val="28"/>
          <w:szCs w:val="28"/>
          <w:lang w:val="en-US" w:eastAsia="zh-CN"/>
        </w:rPr>
        <w:t>故未将此类人群纳为干预对象。</w:t>
      </w:r>
    </w:p>
    <w:p w14:paraId="31445523">
      <w:pPr>
        <w:numPr>
          <w:ilvl w:val="0"/>
          <w:numId w:val="4"/>
        </w:numPr>
        <w:ind w:firstLine="562" w:firstLineChars="200"/>
        <w:rPr>
          <w:rFonts w:hint="eastAsia"/>
          <w:b/>
          <w:bCs/>
          <w:sz w:val="28"/>
          <w:szCs w:val="28"/>
          <w:lang w:val="en-US" w:eastAsia="zh-CN"/>
        </w:rPr>
      </w:pPr>
      <w:r>
        <w:rPr>
          <w:rFonts w:hint="eastAsia"/>
          <w:b/>
          <w:bCs/>
          <w:sz w:val="28"/>
          <w:szCs w:val="28"/>
          <w:lang w:val="en-US" w:eastAsia="zh-CN"/>
        </w:rPr>
        <w:t>标准内容框架的确定依据</w:t>
      </w:r>
    </w:p>
    <w:p w14:paraId="2AA9277F">
      <w:pPr>
        <w:snapToGrid w:val="0"/>
        <w:spacing w:line="360" w:lineRule="auto"/>
        <w:ind w:firstLine="560" w:firstLineChars="200"/>
        <w:rPr>
          <w:rFonts w:ascii="宋体" w:hAnsi="宋体" w:eastAsia="宋体" w:cs="Times New Roman"/>
          <w:sz w:val="28"/>
          <w:szCs w:val="28"/>
        </w:rPr>
      </w:pPr>
      <w:r>
        <w:rPr>
          <w:rFonts w:hint="eastAsia" w:ascii="宋体" w:hAnsi="宋体" w:eastAsia="宋体" w:cs="Times New Roman"/>
          <w:sz w:val="28"/>
          <w:szCs w:val="28"/>
          <w:lang w:val="en-US" w:eastAsia="zh-CN"/>
        </w:rPr>
        <w:t>本文件借鉴</w:t>
      </w:r>
      <w:r>
        <w:rPr>
          <w:rFonts w:hint="eastAsia" w:ascii="宋体" w:hAnsi="宋体" w:eastAsia="宋体" w:cs="Times New Roman"/>
          <w:sz w:val="28"/>
          <w:szCs w:val="28"/>
          <w:lang w:eastAsia="zh-CN"/>
        </w:rPr>
        <w:t>T/GDACM 0104—2021《岭南地区慢性肾脏病中医健康膳食指南》</w:t>
      </w:r>
      <w:r>
        <w:rPr>
          <w:rFonts w:hint="eastAsia" w:ascii="宋体" w:hAnsi="宋体" w:eastAsia="宋体" w:cs="Times New Roman"/>
          <w:sz w:val="28"/>
          <w:szCs w:val="28"/>
          <w:lang w:val="en-US" w:eastAsia="zh-CN"/>
        </w:rPr>
        <w:t>的体例，</w:t>
      </w:r>
      <w:r>
        <w:rPr>
          <w:rFonts w:hint="eastAsia"/>
          <w:sz w:val="28"/>
          <w:szCs w:val="28"/>
        </w:rPr>
        <w:t>规定了岭南地区慢性呼吸衰竭中医膳食治疗的相关术语和定义、中医证候分类与辨识、治疗原则、膳食推荐、膳食管理小组、评估和监测、针对患者或患者家属的膳食宣教、患者依从性管理方面的要点</w:t>
      </w:r>
      <w:r>
        <w:rPr>
          <w:rFonts w:hint="eastAsia"/>
          <w:sz w:val="28"/>
          <w:szCs w:val="28"/>
          <w:lang w:eastAsia="zh-CN"/>
        </w:rPr>
        <w:t>，</w:t>
      </w:r>
      <w:r>
        <w:rPr>
          <w:rFonts w:hint="eastAsia" w:ascii="宋体" w:hAnsi="宋体" w:eastAsia="宋体" w:cs="Times New Roman"/>
          <w:sz w:val="28"/>
          <w:szCs w:val="28"/>
        </w:rPr>
        <w:t>较为全面</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详尽</w:t>
      </w:r>
      <w:r>
        <w:rPr>
          <w:rFonts w:hint="eastAsia" w:ascii="宋体" w:hAnsi="宋体" w:eastAsia="宋体" w:cs="Times New Roman"/>
          <w:sz w:val="28"/>
          <w:szCs w:val="28"/>
        </w:rPr>
        <w:t>地</w:t>
      </w:r>
      <w:r>
        <w:rPr>
          <w:rFonts w:ascii="宋体" w:hAnsi="宋体" w:eastAsia="宋体" w:cs="Times New Roman"/>
          <w:sz w:val="28"/>
          <w:szCs w:val="28"/>
        </w:rPr>
        <w:t>阐述了慢性</w:t>
      </w:r>
      <w:r>
        <w:rPr>
          <w:rFonts w:hint="eastAsia" w:ascii="宋体" w:hAnsi="宋体" w:eastAsia="宋体" w:cs="Times New Roman"/>
          <w:sz w:val="28"/>
          <w:szCs w:val="28"/>
        </w:rPr>
        <w:t>呼吸衰竭</w:t>
      </w:r>
      <w:r>
        <w:rPr>
          <w:rFonts w:hint="eastAsia" w:ascii="宋体" w:hAnsi="宋体" w:eastAsia="宋体" w:cs="Times New Roman"/>
          <w:sz w:val="28"/>
          <w:szCs w:val="28"/>
          <w:lang w:val="en-US" w:eastAsia="zh-CN"/>
        </w:rPr>
        <w:t>家庭</w:t>
      </w:r>
      <w:r>
        <w:rPr>
          <w:rFonts w:hint="eastAsia" w:ascii="宋体" w:hAnsi="宋体" w:eastAsia="宋体" w:cs="Times New Roman"/>
          <w:sz w:val="28"/>
          <w:szCs w:val="28"/>
        </w:rPr>
        <w:t>中医</w:t>
      </w:r>
      <w:r>
        <w:rPr>
          <w:rFonts w:ascii="宋体" w:hAnsi="宋体" w:eastAsia="宋体" w:cs="Times New Roman"/>
          <w:sz w:val="28"/>
          <w:szCs w:val="28"/>
        </w:rPr>
        <w:t>膳食</w:t>
      </w:r>
      <w:r>
        <w:rPr>
          <w:rFonts w:hint="eastAsia" w:ascii="宋体" w:hAnsi="宋体" w:eastAsia="宋体" w:cs="Times New Roman"/>
          <w:sz w:val="28"/>
          <w:szCs w:val="28"/>
        </w:rPr>
        <w:t>治疗的</w:t>
      </w:r>
      <w:r>
        <w:rPr>
          <w:rFonts w:ascii="宋体" w:hAnsi="宋体" w:eastAsia="宋体" w:cs="Times New Roman"/>
          <w:sz w:val="28"/>
          <w:szCs w:val="28"/>
        </w:rPr>
        <w:t>相关内容。</w:t>
      </w:r>
    </w:p>
    <w:p w14:paraId="1BAE218A">
      <w:pPr>
        <w:numPr>
          <w:ilvl w:val="0"/>
          <w:numId w:val="4"/>
        </w:numPr>
        <w:ind w:firstLine="562" w:firstLineChars="200"/>
        <w:rPr>
          <w:rFonts w:hint="eastAsia"/>
          <w:b/>
          <w:bCs/>
          <w:sz w:val="28"/>
          <w:szCs w:val="28"/>
          <w:lang w:val="en-US" w:eastAsia="zh-CN"/>
        </w:rPr>
      </w:pPr>
      <w:r>
        <w:rPr>
          <w:rFonts w:hint="eastAsia"/>
          <w:b/>
          <w:bCs/>
          <w:sz w:val="28"/>
          <w:szCs w:val="28"/>
          <w:lang w:val="en-US" w:eastAsia="zh-CN"/>
        </w:rPr>
        <w:t>中医证候分类与辨识的确定依据</w:t>
      </w:r>
    </w:p>
    <w:p w14:paraId="0A67681C">
      <w:pPr>
        <w:snapToGrid w:val="0"/>
        <w:spacing w:line="360" w:lineRule="auto"/>
        <w:ind w:firstLine="560" w:firstLineChars="200"/>
        <w:rPr>
          <w:rFonts w:hint="default"/>
          <w:sz w:val="28"/>
          <w:szCs w:val="28"/>
          <w:lang w:val="en-US" w:eastAsia="zh-CN"/>
        </w:rPr>
      </w:pPr>
      <w:r>
        <w:rPr>
          <w:rFonts w:hint="default"/>
          <w:sz w:val="28"/>
          <w:szCs w:val="28"/>
          <w:lang w:val="en-US" w:eastAsia="zh-CN"/>
        </w:rPr>
        <w:t>基于</w:t>
      </w:r>
      <w:r>
        <w:rPr>
          <w:rFonts w:hint="default" w:ascii="宋体" w:hAnsi="宋体" w:eastAsia="宋体" w:cs="Times New Roman"/>
          <w:color w:val="000000"/>
          <w:sz w:val="28"/>
          <w:szCs w:val="28"/>
          <w:lang w:val="en-US" w:eastAsia="zh-CN"/>
        </w:rPr>
        <w:t>GB/T 15657-2021</w:t>
      </w:r>
      <w:r>
        <w:rPr>
          <w:rFonts w:hint="eastAsia"/>
          <w:sz w:val="28"/>
          <w:szCs w:val="28"/>
          <w:lang w:val="en-US" w:eastAsia="zh-CN"/>
        </w:rPr>
        <w:t>《</w:t>
      </w:r>
      <w:r>
        <w:rPr>
          <w:rFonts w:hint="default"/>
          <w:sz w:val="28"/>
          <w:szCs w:val="28"/>
          <w:lang w:val="en-US" w:eastAsia="zh-CN"/>
        </w:rPr>
        <w:t>中医病证分类与代码</w:t>
      </w:r>
      <w:r>
        <w:rPr>
          <w:rFonts w:hint="eastAsia"/>
          <w:sz w:val="28"/>
          <w:szCs w:val="28"/>
          <w:lang w:val="en-US" w:eastAsia="zh-CN"/>
        </w:rPr>
        <w:t>》</w:t>
      </w:r>
      <w:r>
        <w:rPr>
          <w:rFonts w:hint="default"/>
          <w:sz w:val="28"/>
          <w:szCs w:val="28"/>
          <w:lang w:val="en-US" w:eastAsia="zh-CN"/>
        </w:rPr>
        <w:t>、</w:t>
      </w:r>
      <w:r>
        <w:rPr>
          <w:rFonts w:hint="default" w:ascii="宋体" w:hAnsi="宋体" w:eastAsia="宋体" w:cs="Times New Roman"/>
          <w:color w:val="000000"/>
          <w:sz w:val="28"/>
          <w:szCs w:val="28"/>
          <w:lang w:val="en-US" w:eastAsia="zh-CN"/>
        </w:rPr>
        <w:t>ZY/T 10—2024</w:t>
      </w:r>
      <w:r>
        <w:rPr>
          <w:rFonts w:hint="eastAsia"/>
          <w:sz w:val="28"/>
          <w:szCs w:val="28"/>
          <w:lang w:val="en-US" w:eastAsia="zh-CN"/>
        </w:rPr>
        <w:t>《</w:t>
      </w:r>
      <w:r>
        <w:rPr>
          <w:rFonts w:hint="default"/>
          <w:sz w:val="28"/>
          <w:szCs w:val="28"/>
          <w:lang w:val="en-US" w:eastAsia="zh-CN"/>
        </w:rPr>
        <w:t>中医病证诊断与疗效评价规范制修订</w:t>
      </w:r>
      <w:r>
        <w:rPr>
          <w:rFonts w:hint="eastAsia"/>
          <w:sz w:val="28"/>
          <w:szCs w:val="28"/>
          <w:lang w:val="en-US" w:eastAsia="zh-CN"/>
        </w:rPr>
        <w:t xml:space="preserve"> </w:t>
      </w:r>
      <w:r>
        <w:rPr>
          <w:rFonts w:hint="default"/>
          <w:sz w:val="28"/>
          <w:szCs w:val="28"/>
          <w:lang w:val="en-US" w:eastAsia="zh-CN"/>
        </w:rPr>
        <w:t>通则</w:t>
      </w:r>
      <w:r>
        <w:rPr>
          <w:rFonts w:hint="eastAsia"/>
          <w:sz w:val="28"/>
          <w:szCs w:val="28"/>
          <w:lang w:val="en-US" w:eastAsia="zh-CN"/>
        </w:rPr>
        <w:t>》</w:t>
      </w:r>
      <w:r>
        <w:rPr>
          <w:rFonts w:hint="default"/>
          <w:sz w:val="28"/>
          <w:szCs w:val="28"/>
          <w:lang w:val="en-US" w:eastAsia="zh-CN"/>
        </w:rPr>
        <w:t>、</w:t>
      </w:r>
      <w:r>
        <w:rPr>
          <w:rFonts w:hint="default" w:ascii="宋体" w:hAnsi="宋体" w:eastAsia="宋体" w:cs="Times New Roman"/>
          <w:color w:val="000000"/>
          <w:sz w:val="28"/>
          <w:szCs w:val="28"/>
          <w:lang w:val="en-US" w:eastAsia="zh-CN"/>
        </w:rPr>
        <w:t>ZY/T 001.1-</w:t>
      </w:r>
      <w:r>
        <w:rPr>
          <w:rFonts w:hint="eastAsia" w:ascii="宋体" w:hAnsi="宋体" w:eastAsia="宋体" w:cs="Times New Roman"/>
          <w:color w:val="000000"/>
          <w:sz w:val="28"/>
          <w:szCs w:val="28"/>
          <w:lang w:val="en-US" w:eastAsia="zh-CN"/>
        </w:rPr>
        <w:t>19</w:t>
      </w:r>
      <w:r>
        <w:rPr>
          <w:rFonts w:hint="default" w:ascii="宋体" w:hAnsi="宋体" w:eastAsia="宋体" w:cs="Times New Roman"/>
          <w:color w:val="000000"/>
          <w:sz w:val="28"/>
          <w:szCs w:val="28"/>
          <w:lang w:val="en-US" w:eastAsia="zh-CN"/>
        </w:rPr>
        <w:t>94</w:t>
      </w:r>
      <w:r>
        <w:rPr>
          <w:rFonts w:hint="eastAsia"/>
          <w:sz w:val="28"/>
          <w:szCs w:val="28"/>
          <w:lang w:val="en-US" w:eastAsia="zh-CN"/>
        </w:rPr>
        <w:t>《</w:t>
      </w:r>
      <w:r>
        <w:rPr>
          <w:rFonts w:hint="default"/>
          <w:sz w:val="28"/>
          <w:szCs w:val="28"/>
          <w:lang w:val="en-US" w:eastAsia="zh-CN"/>
        </w:rPr>
        <w:t>中医内科病证诊断疗效标准</w:t>
      </w:r>
      <w:r>
        <w:rPr>
          <w:rFonts w:hint="eastAsia"/>
          <w:sz w:val="28"/>
          <w:szCs w:val="28"/>
          <w:lang w:val="en-US" w:eastAsia="zh-CN"/>
        </w:rPr>
        <w:t>》</w:t>
      </w:r>
      <w:r>
        <w:rPr>
          <w:rFonts w:hint="default"/>
          <w:sz w:val="28"/>
          <w:szCs w:val="28"/>
          <w:lang w:val="en-US" w:eastAsia="zh-CN"/>
        </w:rPr>
        <w:t>等，经文献调研及专家咨询，本文件将岭南地区慢性呼吸衰竭患者常见的中医证候分为虚证类（肺脾气虚证、肺肾气虚证、气阴两虚证）、实证类（痰浊阻肺证、痰热壅肺证、痰瘀互结证、表寒内饮证）、虚实夹杂类（阳虚水泛证、阴虚火旺证）3类9种。</w:t>
      </w:r>
    </w:p>
    <w:p w14:paraId="7A560960">
      <w:pPr>
        <w:ind w:firstLine="562" w:firstLineChars="200"/>
        <w:rPr>
          <w:rFonts w:hint="eastAsia"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5.中医膳食治疗原则的确定依据</w:t>
      </w:r>
    </w:p>
    <w:p w14:paraId="31BA9676">
      <w:pPr>
        <w:numPr>
          <w:ilvl w:val="0"/>
          <w:numId w:val="0"/>
        </w:numPr>
        <w:snapToGrid w:val="0"/>
        <w:spacing w:line="360" w:lineRule="auto"/>
        <w:ind w:firstLine="560" w:firstLineChars="200"/>
        <w:rPr>
          <w:rFonts w:hint="eastAsia"/>
          <w:sz w:val="28"/>
          <w:szCs w:val="28"/>
          <w:lang w:val="en-US" w:eastAsia="zh-CN"/>
        </w:rPr>
      </w:pPr>
      <w:r>
        <w:rPr>
          <w:rFonts w:hint="eastAsia"/>
          <w:sz w:val="28"/>
          <w:szCs w:val="28"/>
          <w:lang w:val="en-US" w:eastAsia="zh-CN"/>
        </w:rPr>
        <w:t>基于中医辨证论治、三因制宜、四气五味、君臣佐使、“十八反”、“十九畏”的理论，参考</w:t>
      </w:r>
      <w:r>
        <w:rPr>
          <w:rFonts w:hint="default"/>
          <w:sz w:val="28"/>
          <w:szCs w:val="28"/>
          <w:lang w:val="en-US" w:eastAsia="zh-CN"/>
        </w:rPr>
        <w:t>现代</w:t>
      </w:r>
      <w:r>
        <w:rPr>
          <w:rFonts w:hint="eastAsia"/>
          <w:sz w:val="28"/>
          <w:szCs w:val="28"/>
          <w:lang w:val="en-US" w:eastAsia="zh-CN"/>
        </w:rPr>
        <w:t>医学对</w:t>
      </w:r>
      <w:r>
        <w:rPr>
          <w:rFonts w:hint="default"/>
          <w:sz w:val="28"/>
          <w:szCs w:val="28"/>
          <w:lang w:val="en-US" w:eastAsia="zh-CN"/>
        </w:rPr>
        <w:t>慢性</w:t>
      </w:r>
      <w:r>
        <w:rPr>
          <w:rFonts w:hint="eastAsia"/>
          <w:sz w:val="28"/>
          <w:szCs w:val="28"/>
          <w:lang w:val="en-US" w:eastAsia="zh-CN"/>
        </w:rPr>
        <w:t>呼吸衰竭的认识及营养支持策略、国家卫生健康委编制的成人高脂血症食养指南（</w:t>
      </w:r>
      <w:r>
        <w:rPr>
          <w:rFonts w:hint="eastAsia" w:ascii="宋体" w:hAnsi="宋体" w:eastAsia="宋体" w:cs="Times New Roman"/>
          <w:color w:val="000000"/>
          <w:sz w:val="28"/>
          <w:szCs w:val="28"/>
          <w:lang w:val="en-US" w:eastAsia="zh-CN"/>
        </w:rPr>
        <w:t xml:space="preserve">2023 </w:t>
      </w:r>
      <w:r>
        <w:rPr>
          <w:rFonts w:hint="eastAsia"/>
          <w:sz w:val="28"/>
          <w:szCs w:val="28"/>
          <w:lang w:val="en-US" w:eastAsia="zh-CN"/>
        </w:rPr>
        <w:t>年版）食养原则，制定岭南地区慢性呼吸衰竭患者的中医膳食治疗原则。</w:t>
      </w:r>
    </w:p>
    <w:p w14:paraId="22E88EEA">
      <w:pPr>
        <w:numPr>
          <w:ilvl w:val="0"/>
          <w:numId w:val="0"/>
        </w:numPr>
        <w:snapToGrid w:val="0"/>
        <w:spacing w:line="360" w:lineRule="auto"/>
        <w:ind w:leftChars="200"/>
        <w:rPr>
          <w:rFonts w:hint="eastAsia"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6.膳食推荐方案的确定依据</w:t>
      </w:r>
    </w:p>
    <w:p w14:paraId="7D77761F">
      <w:pPr>
        <w:numPr>
          <w:ilvl w:val="0"/>
          <w:numId w:val="0"/>
        </w:numPr>
        <w:ind w:firstLine="560" w:firstLineChars="200"/>
        <w:rPr>
          <w:rFonts w:hint="eastAsia"/>
          <w:sz w:val="28"/>
          <w:szCs w:val="28"/>
          <w:lang w:val="en-US" w:eastAsia="zh-CN"/>
        </w:rPr>
      </w:pPr>
      <w:r>
        <w:rPr>
          <w:rFonts w:hint="eastAsia"/>
          <w:sz w:val="28"/>
          <w:szCs w:val="28"/>
          <w:lang w:val="en-US" w:eastAsia="zh-CN"/>
        </w:rPr>
        <w:t>本文件为岭南地区慢性呼吸衰竭患者进行中医健康膳食推荐时，是基于第</w:t>
      </w:r>
      <w:r>
        <w:rPr>
          <w:rFonts w:hint="eastAsia" w:ascii="宋体" w:hAnsi="宋体" w:eastAsia="宋体" w:cs="Times New Roman"/>
          <w:color w:val="000000"/>
          <w:sz w:val="28"/>
          <w:szCs w:val="28"/>
          <w:lang w:val="en-US" w:eastAsia="zh-CN"/>
        </w:rPr>
        <w:t>4</w:t>
      </w:r>
      <w:r>
        <w:rPr>
          <w:rFonts w:hint="eastAsia"/>
          <w:sz w:val="28"/>
          <w:szCs w:val="28"/>
          <w:lang w:val="en-US" w:eastAsia="zh-CN"/>
        </w:rPr>
        <w:t>章所列常见中医证候、</w:t>
      </w:r>
      <w:r>
        <w:rPr>
          <w:rFonts w:hint="eastAsia" w:ascii="宋体" w:hAnsi="宋体" w:eastAsia="宋体" w:cs="Times New Roman"/>
          <w:color w:val="000000"/>
          <w:sz w:val="28"/>
          <w:szCs w:val="28"/>
          <w:lang w:val="en-US" w:eastAsia="zh-CN"/>
        </w:rPr>
        <w:t>T/ZGYSYJH 005—2022</w:t>
      </w:r>
      <w:r>
        <w:rPr>
          <w:rFonts w:hint="eastAsia"/>
          <w:sz w:val="28"/>
          <w:szCs w:val="28"/>
          <w:lang w:val="en-US" w:eastAsia="zh-CN"/>
        </w:rPr>
        <w:t>《食养药膳烹饪技术操作规范 通则》及</w:t>
      </w:r>
      <w:r>
        <w:rPr>
          <w:rFonts w:hint="eastAsia" w:ascii="宋体" w:hAnsi="宋体" w:eastAsia="宋体" w:cs="Times New Roman"/>
          <w:color w:val="000000"/>
          <w:sz w:val="28"/>
          <w:szCs w:val="28"/>
          <w:lang w:val="en-US" w:eastAsia="zh-CN"/>
        </w:rPr>
        <w:t>T/CACM 007—2016</w:t>
      </w:r>
      <w:r>
        <w:rPr>
          <w:rFonts w:hint="eastAsia"/>
          <w:sz w:val="28"/>
          <w:szCs w:val="28"/>
          <w:lang w:val="en-US" w:eastAsia="zh-CN"/>
        </w:rPr>
        <w:t>《药食同源药膳标准 通则》等现行标准对药膳的要求，参考《中华人民共和国药典》（一部，</w:t>
      </w:r>
      <w:r>
        <w:rPr>
          <w:rFonts w:hint="eastAsia" w:ascii="宋体" w:hAnsi="宋体" w:eastAsia="宋体" w:cs="Times New Roman"/>
          <w:color w:val="000000"/>
          <w:sz w:val="28"/>
          <w:szCs w:val="28"/>
          <w:lang w:val="en-US" w:eastAsia="zh-CN"/>
        </w:rPr>
        <w:t>2020</w:t>
      </w:r>
      <w:r>
        <w:rPr>
          <w:rFonts w:hint="eastAsia"/>
          <w:sz w:val="28"/>
          <w:szCs w:val="28"/>
          <w:lang w:val="en-US" w:eastAsia="zh-CN"/>
        </w:rPr>
        <w:t>年版）、国家卫生健康委员会及国家市场监督管理总局公布的按照传统既是食品又是中药材的物质目录、《保护濒危动植物物种条例》（第</w:t>
      </w:r>
      <w:r>
        <w:rPr>
          <w:rFonts w:hint="eastAsia" w:ascii="宋体" w:hAnsi="宋体" w:eastAsia="宋体" w:cs="Times New Roman"/>
          <w:color w:val="000000"/>
          <w:sz w:val="28"/>
          <w:szCs w:val="28"/>
          <w:lang w:val="en-US" w:eastAsia="zh-CN"/>
        </w:rPr>
        <w:t>586</w:t>
      </w:r>
      <w:r>
        <w:rPr>
          <w:rFonts w:hint="eastAsia"/>
          <w:sz w:val="28"/>
          <w:szCs w:val="28"/>
          <w:lang w:val="en-US" w:eastAsia="zh-CN"/>
        </w:rPr>
        <w:t>章）、《澳门特别行政区所用中药材表》等文件，充分调研现有的与中医膳食相关的文献及专著，结合起草组专家、营养师意见，优选效用佳、食材易得（如岭南地区道地药材）、食用美味、烹煮难度不大的药膳。为更好地满足不同人群的需求，本文件囊括了入膳中药推荐、药膳推荐、点餐建议、注意事项、使用说明等内容，且每个证候均有汤、粥、菜、茶等不同类别的膳食供患者选择。</w:t>
      </w:r>
    </w:p>
    <w:p w14:paraId="2D72C799">
      <w:pPr>
        <w:numPr>
          <w:ilvl w:val="0"/>
          <w:numId w:val="0"/>
        </w:numPr>
        <w:snapToGrid w:val="0"/>
        <w:spacing w:line="360" w:lineRule="auto"/>
        <w:ind w:leftChars="200"/>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 xml:space="preserve">7.膳食管理小组的确定依据 </w:t>
      </w:r>
    </w:p>
    <w:p w14:paraId="761C7DBE">
      <w:pPr>
        <w:snapToGrid w:val="0"/>
        <w:spacing w:line="360" w:lineRule="auto"/>
        <w:ind w:firstLine="560" w:firstLineChars="200"/>
        <w:rPr>
          <w:rFonts w:hint="default"/>
          <w:sz w:val="28"/>
          <w:szCs w:val="28"/>
          <w:lang w:val="en-US" w:eastAsia="zh-CN"/>
        </w:rPr>
      </w:pPr>
      <w:r>
        <w:rPr>
          <w:rFonts w:hint="eastAsia" w:ascii="宋体" w:hAnsi="宋体" w:eastAsia="宋体" w:cs="Times New Roman"/>
          <w:sz w:val="28"/>
          <w:szCs w:val="28"/>
          <w:lang w:val="en-US" w:eastAsia="zh-CN"/>
        </w:rPr>
        <w:t>因家庭中医膳食治疗涉及患者评估、方案制定及调整、疗效观察、并发症防治等多个方面的内容，而患者及患者家属大多缺乏相关专业知识，成立膳食管理小组对落实家庭中医膳食方案大有裨益。经过文献调研[如中国成人患者肠外肠内营养临床应用指南（</w:t>
      </w:r>
      <w:r>
        <w:rPr>
          <w:rFonts w:hint="eastAsia" w:ascii="宋体" w:hAnsi="宋体" w:eastAsia="宋体" w:cs="Times New Roman"/>
          <w:color w:val="000000"/>
          <w:sz w:val="28"/>
          <w:szCs w:val="28"/>
          <w:lang w:val="en-US" w:eastAsia="zh-CN"/>
        </w:rPr>
        <w:t>2023</w:t>
      </w:r>
      <w:r>
        <w:rPr>
          <w:rFonts w:hint="eastAsia" w:ascii="宋体" w:hAnsi="宋体" w:eastAsia="宋体" w:cs="Times New Roman"/>
          <w:sz w:val="28"/>
          <w:szCs w:val="28"/>
          <w:lang w:val="en-US" w:eastAsia="zh-CN"/>
        </w:rPr>
        <w:t>版）、《中医药膳学》、《中医食疗学》等]、专家咨询、工作组讨论，本文件从</w:t>
      </w:r>
      <w:r>
        <w:rPr>
          <w:rFonts w:hint="eastAsia"/>
          <w:sz w:val="28"/>
          <w:szCs w:val="28"/>
        </w:rPr>
        <w:t>小组</w:t>
      </w:r>
      <w:r>
        <w:rPr>
          <w:rFonts w:hint="eastAsia"/>
          <w:sz w:val="28"/>
          <w:szCs w:val="28"/>
          <w:lang w:val="en-US" w:eastAsia="zh-CN"/>
        </w:rPr>
        <w:t>成员及其职责、“医院-社区-家庭”的干预模式、小组工作流程等方面对膳食管理小组的运行。</w:t>
      </w:r>
    </w:p>
    <w:p w14:paraId="5C23CCA8">
      <w:pPr>
        <w:numPr>
          <w:ilvl w:val="0"/>
          <w:numId w:val="0"/>
        </w:numPr>
        <w:snapToGrid w:val="0"/>
        <w:spacing w:line="360" w:lineRule="auto"/>
        <w:ind w:leftChars="200"/>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 xml:space="preserve">8.评估与监测的确定依据 </w:t>
      </w:r>
    </w:p>
    <w:p w14:paraId="38A80F7E">
      <w:pPr>
        <w:snapToGrid w:val="0"/>
        <w:spacing w:line="360" w:lineRule="auto"/>
        <w:ind w:firstLine="560" w:firstLineChars="200"/>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评估与监测部分的内容是通过文献调研、专家咨询、工作组讨论的方式确立的。其中，评估的目的、评估的时间、营养评估及监测部分的内容主要参考</w:t>
      </w:r>
      <w:r>
        <w:rPr>
          <w:rFonts w:hint="eastAsia" w:ascii="宋体" w:hAnsi="宋体" w:eastAsia="宋体" w:cs="Times New Roman"/>
          <w:sz w:val="28"/>
          <w:szCs w:val="28"/>
          <w:lang w:eastAsia="zh-CN"/>
        </w:rPr>
        <w:t>T/GDACM 0104—2021《岭南地区慢性肾脏病中医健康膳食指南》、</w:t>
      </w:r>
      <w:r>
        <w:rPr>
          <w:rFonts w:hint="eastAsia" w:ascii="宋体" w:hAnsi="宋体" w:eastAsia="宋体" w:cs="Times New Roman"/>
          <w:sz w:val="28"/>
          <w:szCs w:val="28"/>
          <w:lang w:val="en-US" w:eastAsia="zh-CN"/>
        </w:rPr>
        <w:t>中国成人患者肠外肠内营养临床应用指南（2023版）；病情评估及监测部分的内容主要参考</w:t>
      </w:r>
      <w:r>
        <w:rPr>
          <w:rFonts w:hint="default" w:ascii="宋体" w:hAnsi="宋体" w:eastAsia="宋体" w:cs="Times New Roman"/>
          <w:sz w:val="28"/>
          <w:szCs w:val="28"/>
          <w:lang w:val="en-US" w:eastAsia="zh-CN"/>
        </w:rPr>
        <w:t>ZY/T 10—2024 《中医病证诊断与疗效评价规范制修订通则》、ZY/T 001.1-</w:t>
      </w:r>
      <w:r>
        <w:rPr>
          <w:rFonts w:hint="eastAsia" w:ascii="宋体" w:hAnsi="宋体" w:eastAsia="宋体" w:cs="Times New Roman"/>
          <w:sz w:val="28"/>
          <w:szCs w:val="28"/>
          <w:lang w:val="en-US" w:eastAsia="zh-CN"/>
        </w:rPr>
        <w:t>19</w:t>
      </w:r>
      <w:r>
        <w:rPr>
          <w:rFonts w:hint="default" w:ascii="宋体" w:hAnsi="宋体" w:eastAsia="宋体" w:cs="Times New Roman"/>
          <w:sz w:val="28"/>
          <w:szCs w:val="28"/>
          <w:lang w:val="en-US" w:eastAsia="zh-CN"/>
        </w:rPr>
        <w:t>94 《中医内科病证诊断疗效标准</w:t>
      </w:r>
      <w:r>
        <w:rPr>
          <w:rFonts w:hint="eastAsia" w:ascii="宋体" w:hAnsi="宋体" w:eastAsia="宋体" w:cs="Times New Roman"/>
          <w:sz w:val="28"/>
          <w:szCs w:val="28"/>
          <w:lang w:val="en-US" w:eastAsia="zh-CN"/>
        </w:rPr>
        <w:t>》、《中药新药临床研究指导原则（试行）》（2002年，郑筱萸主编）、《病证结合模式下中医证候疗效评价量表研制的实践与策略》、2025年慢性阻塞性肺疾病全球倡议（GOLD）而确立。</w:t>
      </w:r>
    </w:p>
    <w:p w14:paraId="34CC7831">
      <w:pPr>
        <w:numPr>
          <w:ilvl w:val="0"/>
          <w:numId w:val="0"/>
        </w:numPr>
        <w:snapToGrid w:val="0"/>
        <w:spacing w:line="360" w:lineRule="auto"/>
        <w:ind w:leftChars="200"/>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9.针对患者或患者家属的膳食宣教的确立依据</w:t>
      </w:r>
    </w:p>
    <w:p w14:paraId="4ADCF620">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该部分内容是通过文献调研、专家咨询、工作组讨论的方式确立的。其中，</w:t>
      </w:r>
      <w:r>
        <w:rPr>
          <w:rFonts w:hint="eastAsia"/>
          <w:sz w:val="28"/>
          <w:szCs w:val="28"/>
          <w:lang w:val="en-US" w:eastAsia="zh-CN"/>
        </w:rPr>
        <w:t>膳食宣教的开展方式部分的内容主要参考了</w:t>
      </w:r>
      <w:r>
        <w:rPr>
          <w:rFonts w:hint="eastAsia" w:ascii="宋体" w:hAnsi="宋体" w:eastAsia="宋体" w:cs="Times New Roman"/>
          <w:sz w:val="28"/>
          <w:szCs w:val="28"/>
          <w:lang w:eastAsia="zh-CN"/>
        </w:rPr>
        <w:t>T/GDACM 0104—2021《岭南地区慢性肾脏病中医健康膳食指南》，</w:t>
      </w:r>
      <w:r>
        <w:rPr>
          <w:rFonts w:hint="eastAsia" w:ascii="宋体" w:hAnsi="宋体" w:eastAsia="宋体" w:cs="Times New Roman"/>
          <w:sz w:val="28"/>
          <w:szCs w:val="28"/>
          <w:lang w:val="en-US" w:eastAsia="zh-CN"/>
        </w:rPr>
        <w:t>课程内容主要参考了</w:t>
      </w:r>
      <w:r>
        <w:rPr>
          <w:rFonts w:hint="eastAsia" w:ascii="宋体" w:hAnsi="宋体" w:eastAsia="宋体" w:cs="Times New Roman"/>
          <w:sz w:val="28"/>
          <w:szCs w:val="28"/>
          <w:lang w:eastAsia="zh-CN"/>
        </w:rPr>
        <w:t>T/GDACM 0104—2021《岭南地区慢性肾脏病中医健康膳食指南》、</w:t>
      </w:r>
      <w:r>
        <w:rPr>
          <w:rFonts w:hint="eastAsia" w:ascii="宋体" w:hAnsi="宋体" w:eastAsia="宋体" w:cs="Times New Roman"/>
          <w:sz w:val="28"/>
          <w:szCs w:val="28"/>
          <w:lang w:val="en-US" w:eastAsia="zh-CN"/>
        </w:rPr>
        <w:t>《中医药膳学》、《中国居民膳食指南大全》、《中医食疗营养学》、《中医食养与药膳调理》。</w:t>
      </w:r>
    </w:p>
    <w:p w14:paraId="2AB5BC2A">
      <w:pPr>
        <w:numPr>
          <w:ilvl w:val="0"/>
          <w:numId w:val="0"/>
        </w:numPr>
        <w:snapToGrid w:val="0"/>
        <w:spacing w:line="360" w:lineRule="auto"/>
        <w:ind w:leftChars="200"/>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10.患者依从性管理的确立依据</w:t>
      </w:r>
    </w:p>
    <w:p w14:paraId="0A259EBD">
      <w:pPr>
        <w:pStyle w:val="29"/>
        <w:numPr>
          <w:ilvl w:val="0"/>
          <w:numId w:val="0"/>
        </w:numPr>
        <w:spacing w:line="300" w:lineRule="auto"/>
        <w:ind w:firstLine="560" w:firstLineChars="200"/>
        <w:rPr>
          <w:rFonts w:hint="eastAsia"/>
          <w:bCs/>
        </w:rPr>
      </w:pPr>
      <w:r>
        <w:rPr>
          <w:rFonts w:hint="eastAsia" w:hAnsi="宋体" w:cs="Times New Roman"/>
          <w:sz w:val="28"/>
          <w:szCs w:val="28"/>
          <w:lang w:val="en-US" w:eastAsia="zh-CN"/>
        </w:rPr>
        <w:t>患者依从性管理的评估方法、影响患者膳食治疗依从性的因素主要通过文献调研得出。提高患者依从性的推荐方法主要基于影响依从性的因素，通过文献调研、专家咨询及工作组讨论的方法得出。患者随访的方式、频率及内容的部分参考了相关文献，并经</w:t>
      </w:r>
      <w:r>
        <w:rPr>
          <w:rFonts w:hint="eastAsia" w:ascii="宋体" w:hAnsi="宋体" w:eastAsia="宋体" w:cs="Times New Roman"/>
          <w:sz w:val="28"/>
          <w:szCs w:val="28"/>
          <w:lang w:val="en-US" w:eastAsia="zh-CN"/>
        </w:rPr>
        <w:t>工作组讨论</w:t>
      </w:r>
      <w:r>
        <w:rPr>
          <w:rFonts w:hint="eastAsia" w:hAnsi="宋体" w:cs="Times New Roman"/>
          <w:sz w:val="28"/>
          <w:szCs w:val="28"/>
          <w:lang w:val="en-US" w:eastAsia="zh-CN"/>
        </w:rPr>
        <w:t>后确立</w:t>
      </w:r>
      <w:r>
        <w:rPr>
          <w:rFonts w:hint="eastAsia" w:ascii="宋体" w:hAnsi="宋体" w:eastAsia="宋体" w:cs="Times New Roman"/>
          <w:sz w:val="28"/>
          <w:szCs w:val="28"/>
          <w:lang w:val="en-US" w:eastAsia="zh-CN"/>
        </w:rPr>
        <w:t>。</w:t>
      </w:r>
    </w:p>
    <w:p w14:paraId="2110C5B8">
      <w:pPr>
        <w:pStyle w:val="2"/>
        <w:rPr>
          <w:rFonts w:hint="eastAsia" w:ascii="宋体" w:hAnsi="宋体" w:eastAsia="宋体" w:cs="Times New Roman"/>
          <w:b/>
          <w:bCs/>
          <w:kern w:val="2"/>
          <w:sz w:val="28"/>
          <w:szCs w:val="28"/>
          <w:lang w:val="en-US" w:eastAsia="zh-CN" w:bidi="ar-SA"/>
        </w:rPr>
      </w:pPr>
      <w:bookmarkStart w:id="3" w:name="_Toc192169718"/>
      <w:r>
        <w:rPr>
          <w:rFonts w:hint="eastAsia" w:ascii="宋体" w:hAnsi="宋体" w:eastAsia="宋体" w:cs="Times New Roman"/>
          <w:b/>
          <w:bCs/>
          <w:kern w:val="2"/>
          <w:sz w:val="28"/>
          <w:szCs w:val="28"/>
          <w:lang w:val="en-US" w:eastAsia="zh-CN" w:bidi="ar-SA"/>
        </w:rPr>
        <w:t>四、标准有何先进性或特色性</w:t>
      </w:r>
      <w:bookmarkEnd w:id="3"/>
    </w:p>
    <w:p w14:paraId="1E688003">
      <w:pPr>
        <w:numPr>
          <w:ilvl w:val="0"/>
          <w:numId w:val="0"/>
        </w:numPr>
        <w:snapToGrid w:val="0"/>
        <w:spacing w:line="360" w:lineRule="auto"/>
        <w:ind w:firstLine="562" w:firstLineChars="200"/>
        <w:rPr>
          <w:rFonts w:hint="eastAsia" w:ascii="宋体" w:hAnsi="宋体" w:eastAsia="宋体" w:cs="Times New Roman"/>
          <w:b/>
          <w:bCs/>
          <w:kern w:val="0"/>
          <w:sz w:val="28"/>
          <w:szCs w:val="28"/>
          <w:lang w:val="en-US" w:eastAsia="zh-CN" w:bidi="ar-SA"/>
        </w:rPr>
      </w:pPr>
      <w:r>
        <w:rPr>
          <w:rFonts w:hint="eastAsia" w:ascii="宋体" w:hAnsi="宋体" w:eastAsia="宋体" w:cs="Times New Roman"/>
          <w:b/>
          <w:bCs/>
          <w:kern w:val="0"/>
          <w:sz w:val="28"/>
          <w:szCs w:val="28"/>
          <w:lang w:val="en-US" w:eastAsia="zh-CN" w:bidi="ar-SA"/>
        </w:rPr>
        <w:t>1.先进性</w:t>
      </w:r>
    </w:p>
    <w:p w14:paraId="7F656743">
      <w:pPr>
        <w:numPr>
          <w:ilvl w:val="0"/>
          <w:numId w:val="0"/>
        </w:numPr>
        <w:snapToGrid w:val="0"/>
        <w:spacing w:line="360" w:lineRule="auto"/>
        <w:ind w:firstLine="560" w:firstLineChars="200"/>
        <w:rPr>
          <w:rFonts w:hint="eastAsia" w:ascii="宋体" w:hAnsi="宋体" w:eastAsia="宋体" w:cs="Times New Roman"/>
          <w:kern w:val="0"/>
          <w:sz w:val="28"/>
          <w:szCs w:val="28"/>
          <w:lang w:val="en-US" w:eastAsia="zh-CN" w:bidi="ar-SA"/>
        </w:rPr>
      </w:pPr>
      <w:r>
        <w:rPr>
          <w:rFonts w:hint="eastAsia" w:ascii="宋体" w:hAnsi="宋体" w:eastAsia="宋体" w:cs="Times New Roman"/>
          <w:kern w:val="0"/>
          <w:sz w:val="28"/>
          <w:szCs w:val="28"/>
          <w:lang w:val="en-US" w:eastAsia="zh-CN" w:bidi="ar-SA"/>
        </w:rPr>
        <w:t>团队率先以</w:t>
      </w:r>
      <w:r>
        <w:rPr>
          <w:rFonts w:hint="eastAsia" w:ascii="宋体" w:hAnsi="宋体" w:eastAsia="宋体" w:cs="Times New Roman"/>
          <w:sz w:val="28"/>
          <w:szCs w:val="28"/>
        </w:rPr>
        <w:t>岭南地区</w:t>
      </w:r>
      <w:r>
        <w:rPr>
          <w:rFonts w:ascii="宋体" w:hAnsi="宋体" w:eastAsia="宋体" w:cs="Times New Roman"/>
          <w:sz w:val="28"/>
          <w:szCs w:val="28"/>
        </w:rPr>
        <w:t>慢性</w:t>
      </w:r>
      <w:r>
        <w:rPr>
          <w:rFonts w:hint="eastAsia" w:ascii="宋体" w:hAnsi="宋体" w:eastAsia="宋体" w:cs="Times New Roman"/>
          <w:sz w:val="28"/>
          <w:szCs w:val="28"/>
        </w:rPr>
        <w:t>呼吸衰竭</w:t>
      </w:r>
      <w:r>
        <w:rPr>
          <w:rFonts w:hint="eastAsia" w:ascii="宋体" w:hAnsi="宋体" w:eastAsia="宋体" w:cs="Times New Roman"/>
          <w:sz w:val="28"/>
          <w:szCs w:val="28"/>
          <w:lang w:val="en-US" w:eastAsia="zh-CN"/>
        </w:rPr>
        <w:t>患者家庭中医膳食治疗为核心进行标准编制工作，且涵盖了</w:t>
      </w:r>
      <w:r>
        <w:rPr>
          <w:rFonts w:hint="eastAsia" w:ascii="宋体" w:hAnsi="宋体" w:eastAsia="宋体" w:cs="Times New Roman"/>
          <w:kern w:val="0"/>
          <w:sz w:val="28"/>
          <w:szCs w:val="28"/>
          <w:lang w:val="en-US" w:eastAsia="zh-CN" w:bidi="ar-SA"/>
        </w:rPr>
        <w:t>中医证候分类与辨识、治疗原则、膳食推荐、膳食管理、膳食宣教及依从性管理等多个方面的内容，系统性及可操作性较强。制定膳食治疗原则及推荐药膳时，同时考虑了中医学及现代医学对慢性呼吸衰竭的认识，使内容更加科学。</w:t>
      </w:r>
    </w:p>
    <w:p w14:paraId="4EF59EE7">
      <w:pPr>
        <w:numPr>
          <w:ilvl w:val="0"/>
          <w:numId w:val="0"/>
        </w:numPr>
        <w:snapToGrid w:val="0"/>
        <w:spacing w:line="360" w:lineRule="auto"/>
        <w:ind w:firstLine="562" w:firstLineChars="200"/>
        <w:rPr>
          <w:rFonts w:hint="eastAsia" w:ascii="宋体" w:hAnsi="宋体" w:eastAsia="宋体" w:cs="Times New Roman"/>
          <w:b/>
          <w:bCs/>
          <w:kern w:val="0"/>
          <w:sz w:val="28"/>
          <w:szCs w:val="28"/>
          <w:lang w:val="en-US" w:eastAsia="zh-CN" w:bidi="ar-SA"/>
        </w:rPr>
      </w:pPr>
      <w:r>
        <w:rPr>
          <w:rFonts w:hint="eastAsia" w:ascii="宋体" w:hAnsi="宋体" w:eastAsia="宋体" w:cs="Times New Roman"/>
          <w:b/>
          <w:bCs/>
          <w:kern w:val="0"/>
          <w:sz w:val="28"/>
          <w:szCs w:val="28"/>
          <w:lang w:val="en-US" w:eastAsia="zh-CN" w:bidi="ar-SA"/>
        </w:rPr>
        <w:t>2.特色性</w:t>
      </w:r>
    </w:p>
    <w:p w14:paraId="2322A4BD">
      <w:pPr>
        <w:numPr>
          <w:ilvl w:val="0"/>
          <w:numId w:val="0"/>
        </w:numPr>
        <w:snapToGrid w:val="0"/>
        <w:spacing w:line="360" w:lineRule="auto"/>
        <w:ind w:firstLine="560" w:firstLineChars="200"/>
        <w:rPr>
          <w:rFonts w:hint="eastAsia"/>
          <w:sz w:val="28"/>
          <w:szCs w:val="28"/>
          <w:lang w:val="en-US" w:eastAsia="zh-CN"/>
        </w:rPr>
      </w:pPr>
      <w:r>
        <w:rPr>
          <w:rFonts w:hint="eastAsia" w:ascii="宋体" w:hAnsi="宋体" w:eastAsia="宋体" w:cs="Times New Roman"/>
          <w:kern w:val="0"/>
          <w:sz w:val="28"/>
          <w:szCs w:val="28"/>
          <w:lang w:val="en-US" w:eastAsia="zh-CN" w:bidi="ar-SA"/>
        </w:rPr>
        <w:t>标准编制除遵循</w:t>
      </w:r>
      <w:r>
        <w:rPr>
          <w:rFonts w:ascii="宋体" w:hAnsi="宋体" w:eastAsia="宋体" w:cs="Times New Roman"/>
          <w:sz w:val="28"/>
          <w:szCs w:val="28"/>
        </w:rPr>
        <w:t>规范性、 科学性、 实用性</w:t>
      </w:r>
      <w:r>
        <w:rPr>
          <w:rFonts w:hint="eastAsia" w:ascii="宋体" w:hAnsi="宋体" w:eastAsia="宋体" w:cs="Times New Roman"/>
          <w:sz w:val="28"/>
          <w:szCs w:val="28"/>
          <w:lang w:val="en-US" w:eastAsia="zh-CN"/>
        </w:rPr>
        <w:t>外，还特别注重在粤港澳大湾区的普适性，如：</w:t>
      </w:r>
      <w:r>
        <w:rPr>
          <w:rFonts w:hint="eastAsia"/>
          <w:sz w:val="28"/>
          <w:szCs w:val="28"/>
          <w:lang w:val="en-US" w:eastAsia="zh-CN"/>
        </w:rPr>
        <w:t>囊括了入膳中药推荐、药膳推荐、点餐建议等内容以适应不同生活场景的需要；</w:t>
      </w:r>
      <w:r>
        <w:rPr>
          <w:rFonts w:hint="eastAsia" w:ascii="宋体" w:hAnsi="宋体" w:eastAsia="宋体" w:cs="Times New Roman"/>
          <w:sz w:val="28"/>
          <w:szCs w:val="28"/>
          <w:lang w:val="en-US" w:eastAsia="zh-CN"/>
        </w:rPr>
        <w:t>纳入了不少岭南道地药材及对应的药膳；点餐建议部分涵盖了粤菜、潮菜、客家菜、广西菜、海南菜等多个菜系的菜肴；膳食推荐时</w:t>
      </w:r>
      <w:r>
        <w:rPr>
          <w:rFonts w:hint="eastAsia"/>
          <w:sz w:val="28"/>
          <w:szCs w:val="28"/>
          <w:lang w:val="en-US" w:eastAsia="zh-CN"/>
        </w:rPr>
        <w:t>每个证候均有汤、粥、菜、茶等类别供不同喜好的患者选择；特列附录C对使用过程中可能出现的问题进行说明等。</w:t>
      </w:r>
    </w:p>
    <w:p w14:paraId="06CF7C48">
      <w:pPr>
        <w:pStyle w:val="2"/>
        <w:rPr>
          <w:rFonts w:hint="eastAsia" w:ascii="宋体" w:hAnsi="宋体" w:eastAsia="宋体" w:cs="Times New Roman"/>
          <w:b/>
          <w:bCs/>
          <w:kern w:val="2"/>
          <w:sz w:val="28"/>
          <w:szCs w:val="28"/>
          <w:lang w:val="en-US" w:eastAsia="zh-CN" w:bidi="ar-SA"/>
        </w:rPr>
      </w:pPr>
      <w:bookmarkStart w:id="4" w:name="_Toc192169719"/>
      <w:r>
        <w:rPr>
          <w:rFonts w:hint="eastAsia" w:ascii="宋体" w:hAnsi="宋体" w:eastAsia="宋体" w:cs="Times New Roman"/>
          <w:b/>
          <w:bCs/>
          <w:kern w:val="2"/>
          <w:sz w:val="28"/>
          <w:szCs w:val="28"/>
          <w:lang w:val="en-US" w:eastAsia="zh-CN" w:bidi="ar-SA"/>
        </w:rPr>
        <w:t>五、标准在粤港澳三地调研、研讨、征求意见及邀请三地专家审定的情况</w:t>
      </w:r>
      <w:bookmarkEnd w:id="4"/>
    </w:p>
    <w:p w14:paraId="38D364B7">
      <w:pPr>
        <w:ind w:firstLine="562" w:firstLineChars="200"/>
        <w:rPr>
          <w:rFonts w:hint="default" w:eastAsiaTheme="minorEastAsia"/>
          <w:b/>
          <w:sz w:val="28"/>
          <w:szCs w:val="28"/>
          <w:lang w:val="en-US" w:eastAsia="zh-CN"/>
        </w:rPr>
      </w:pPr>
      <w:r>
        <w:rPr>
          <w:rFonts w:hint="eastAsia"/>
          <w:b/>
          <w:sz w:val="28"/>
          <w:szCs w:val="28"/>
          <w:lang w:val="en-US" w:eastAsia="zh-CN"/>
        </w:rPr>
        <w:t>1.</w:t>
      </w:r>
      <w:r>
        <w:rPr>
          <w:rFonts w:hint="eastAsia"/>
          <w:b/>
          <w:sz w:val="28"/>
          <w:szCs w:val="28"/>
        </w:rPr>
        <w:t>调研</w:t>
      </w:r>
      <w:r>
        <w:rPr>
          <w:rFonts w:hint="eastAsia"/>
          <w:b/>
          <w:sz w:val="28"/>
          <w:szCs w:val="28"/>
          <w:lang w:val="en-US" w:eastAsia="zh-CN"/>
        </w:rPr>
        <w:t>与研讨</w:t>
      </w:r>
    </w:p>
    <w:p w14:paraId="4B3EC846">
      <w:pPr>
        <w:snapToGrid w:val="0"/>
        <w:spacing w:line="360" w:lineRule="auto"/>
        <w:ind w:firstLine="560" w:firstLineChars="200"/>
        <w:rPr>
          <w:rFonts w:hint="eastAsia" w:ascii="宋体" w:hAnsi="宋体" w:eastAsia="宋体" w:cs="Times New Roman"/>
          <w:sz w:val="28"/>
          <w:szCs w:val="28"/>
        </w:rPr>
      </w:pPr>
      <w:r>
        <w:rPr>
          <w:rFonts w:hint="eastAsia" w:ascii="宋体" w:hAnsi="宋体" w:eastAsia="宋体" w:cs="Times New Roman"/>
          <w:sz w:val="28"/>
          <w:szCs w:val="28"/>
          <w:lang w:val="en-US" w:eastAsia="zh-CN"/>
        </w:rPr>
        <w:t>自2024年1月发布原有标准T/GDACM 0123-2024</w:t>
      </w:r>
      <w:r>
        <w:rPr>
          <w:rFonts w:hint="eastAsia" w:hAnsi="宋体" w:cs="Times New Roman"/>
          <w:b w:val="0"/>
          <w:bCs/>
          <w:kern w:val="2"/>
          <w:sz w:val="28"/>
          <w:szCs w:val="28"/>
          <w:lang w:val="en-US" w:eastAsia="zh-CN" w:bidi="ar-SA"/>
        </w:rPr>
        <w:t>《岭南地区慢性呼吸衰竭中医健康膳食指南》后，推广工作亦紧锣密鼓地积极铺开，与粤港澳大湾区多家医疗机构及医学院校专家进行深入交流并收集改进意见。</w:t>
      </w:r>
      <w:r>
        <w:rPr>
          <w:rFonts w:hint="eastAsia" w:ascii="宋体" w:hAnsi="宋体" w:eastAsia="宋体" w:cs="Times New Roman"/>
          <w:sz w:val="28"/>
          <w:szCs w:val="28"/>
          <w:lang w:val="en-US" w:eastAsia="zh-CN"/>
        </w:rPr>
        <w:t>为更好地完成修订工作，工作组</w:t>
      </w:r>
      <w:r>
        <w:rPr>
          <w:rFonts w:hint="eastAsia" w:ascii="宋体" w:hAnsi="宋体" w:eastAsia="宋体" w:cs="Times New Roman"/>
          <w:sz w:val="28"/>
          <w:szCs w:val="28"/>
        </w:rPr>
        <w:t>新增了8家起草单位、10个起草组成员。其中，新增港澳地区单位5家、港澳专家5个</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工作组再次</w:t>
      </w:r>
      <w:r>
        <w:rPr>
          <w:rFonts w:ascii="宋体" w:hAnsi="宋体" w:eastAsia="宋体" w:cs="Times New Roman"/>
          <w:sz w:val="28"/>
          <w:szCs w:val="28"/>
        </w:rPr>
        <w:t>查阅</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分析、梳理了</w:t>
      </w:r>
      <w:r>
        <w:rPr>
          <w:rFonts w:ascii="宋体" w:hAnsi="宋体" w:eastAsia="宋体" w:cs="Times New Roman"/>
          <w:sz w:val="28"/>
          <w:szCs w:val="28"/>
        </w:rPr>
        <w:t>与慢性</w:t>
      </w:r>
      <w:r>
        <w:rPr>
          <w:rFonts w:hint="eastAsia" w:ascii="宋体" w:hAnsi="宋体" w:eastAsia="宋体" w:cs="Times New Roman"/>
          <w:sz w:val="28"/>
          <w:szCs w:val="28"/>
        </w:rPr>
        <w:t>呼吸衰竭</w:t>
      </w:r>
      <w:r>
        <w:rPr>
          <w:rFonts w:hint="eastAsia" w:ascii="宋体" w:hAnsi="宋体" w:eastAsia="宋体" w:cs="Times New Roman"/>
          <w:sz w:val="28"/>
          <w:szCs w:val="28"/>
          <w:lang w:val="en-US" w:eastAsia="zh-CN"/>
        </w:rPr>
        <w:t>膳食治疗</w:t>
      </w:r>
      <w:r>
        <w:rPr>
          <w:rFonts w:ascii="宋体" w:hAnsi="宋体" w:eastAsia="宋体" w:cs="Times New Roman"/>
          <w:sz w:val="28"/>
          <w:szCs w:val="28"/>
        </w:rPr>
        <w:t>的有关标准</w:t>
      </w:r>
      <w:r>
        <w:rPr>
          <w:rFonts w:hint="eastAsia" w:ascii="宋体" w:hAnsi="宋体" w:eastAsia="宋体" w:cs="Times New Roman"/>
          <w:sz w:val="28"/>
          <w:szCs w:val="28"/>
        </w:rPr>
        <w:t>、</w:t>
      </w:r>
      <w:r>
        <w:rPr>
          <w:rFonts w:ascii="宋体" w:hAnsi="宋体" w:eastAsia="宋体" w:cs="Times New Roman"/>
          <w:sz w:val="28"/>
          <w:szCs w:val="28"/>
        </w:rPr>
        <w:t>政策、</w:t>
      </w:r>
      <w:r>
        <w:rPr>
          <w:rFonts w:hint="eastAsia" w:ascii="宋体" w:hAnsi="宋体" w:eastAsia="宋体" w:cs="Times New Roman"/>
          <w:sz w:val="28"/>
          <w:szCs w:val="28"/>
          <w:lang w:val="en-US" w:eastAsia="zh-CN"/>
        </w:rPr>
        <w:t>法律法规、</w:t>
      </w:r>
      <w:r>
        <w:rPr>
          <w:rFonts w:hint="eastAsia" w:ascii="宋体" w:hAnsi="宋体" w:eastAsia="宋体" w:cs="Times New Roman"/>
          <w:sz w:val="28"/>
          <w:szCs w:val="28"/>
        </w:rPr>
        <w:t>文献、著作，</w:t>
      </w:r>
      <w:r>
        <w:rPr>
          <w:rFonts w:hint="eastAsia" w:ascii="宋体" w:hAnsi="宋体" w:eastAsia="宋体" w:cs="Times New Roman"/>
          <w:sz w:val="28"/>
          <w:szCs w:val="28"/>
          <w:lang w:val="en-US" w:eastAsia="zh-CN"/>
        </w:rPr>
        <w:t>结合与部分专家的访谈情况，提出标准修订的草案。</w:t>
      </w:r>
      <w:r>
        <w:rPr>
          <w:rFonts w:hint="eastAsia" w:ascii="宋体" w:hAnsi="宋体" w:eastAsia="宋体" w:cs="Times New Roman"/>
          <w:sz w:val="28"/>
          <w:szCs w:val="28"/>
        </w:rPr>
        <w:t>专家组基于临床经验、专业知识</w:t>
      </w:r>
      <w:r>
        <w:rPr>
          <w:rFonts w:hint="eastAsia" w:ascii="宋体" w:hAnsi="宋体" w:eastAsia="宋体" w:cs="Times New Roman"/>
          <w:sz w:val="28"/>
          <w:szCs w:val="28"/>
          <w:lang w:eastAsia="zh-CN"/>
        </w:rPr>
        <w:t>、</w:t>
      </w:r>
      <w:r>
        <w:rPr>
          <w:rFonts w:hint="eastAsia" w:ascii="宋体" w:hAnsi="宋体" w:eastAsia="宋体" w:cs="Times New Roman"/>
          <w:sz w:val="28"/>
          <w:szCs w:val="28"/>
        </w:rPr>
        <w:t>文献调研</w:t>
      </w:r>
      <w:r>
        <w:rPr>
          <w:rFonts w:hint="eastAsia" w:ascii="宋体" w:hAnsi="宋体" w:eastAsia="宋体" w:cs="Times New Roman"/>
          <w:sz w:val="28"/>
          <w:szCs w:val="28"/>
          <w:lang w:val="en-US" w:eastAsia="zh-CN"/>
        </w:rPr>
        <w:t>及实情调研</w:t>
      </w:r>
      <w:r>
        <w:rPr>
          <w:rFonts w:hint="eastAsia" w:ascii="宋体" w:hAnsi="宋体" w:eastAsia="宋体" w:cs="Times New Roman"/>
          <w:sz w:val="28"/>
          <w:szCs w:val="28"/>
        </w:rPr>
        <w:t>，对</w:t>
      </w:r>
      <w:r>
        <w:rPr>
          <w:rFonts w:hint="eastAsia" w:ascii="宋体" w:hAnsi="宋体" w:eastAsia="宋体" w:cs="Times New Roman"/>
          <w:sz w:val="28"/>
          <w:szCs w:val="28"/>
          <w:lang w:val="en-US" w:eastAsia="zh-CN"/>
        </w:rPr>
        <w:t>标准修订工作建言献策。起草组根据</w:t>
      </w:r>
      <w:r>
        <w:rPr>
          <w:rFonts w:hint="eastAsia" w:ascii="宋体" w:hAnsi="宋体" w:eastAsia="宋体" w:cs="Times New Roman"/>
          <w:sz w:val="28"/>
          <w:szCs w:val="28"/>
        </w:rPr>
        <w:t>文献调研情况及专家意见，撰写标准草案。</w:t>
      </w:r>
      <w:r>
        <w:rPr>
          <w:rFonts w:hint="eastAsia" w:ascii="宋体" w:hAnsi="宋体" w:eastAsia="宋体" w:cs="Times New Roman"/>
          <w:sz w:val="28"/>
          <w:szCs w:val="28"/>
          <w:lang w:val="en-US" w:eastAsia="zh-CN"/>
        </w:rPr>
        <w:t>标准草案成稿</w:t>
      </w:r>
      <w:r>
        <w:rPr>
          <w:rFonts w:hint="eastAsia" w:ascii="宋体" w:hAnsi="宋体" w:eastAsia="宋体" w:cs="Times New Roman"/>
          <w:sz w:val="28"/>
          <w:szCs w:val="28"/>
        </w:rPr>
        <w:t>后，起草组召开</w:t>
      </w:r>
      <w:r>
        <w:rPr>
          <w:rFonts w:hint="eastAsia" w:ascii="宋体" w:hAnsi="宋体" w:eastAsia="宋体" w:cs="Times New Roman"/>
          <w:sz w:val="28"/>
          <w:szCs w:val="28"/>
          <w:lang w:val="en-US" w:eastAsia="zh-CN"/>
        </w:rPr>
        <w:t>线上</w:t>
      </w:r>
      <w:r>
        <w:rPr>
          <w:rFonts w:hint="eastAsia" w:ascii="宋体" w:hAnsi="宋体" w:eastAsia="宋体" w:cs="Times New Roman"/>
          <w:sz w:val="28"/>
          <w:szCs w:val="28"/>
        </w:rPr>
        <w:t>讨论会，针对</w:t>
      </w:r>
      <w:r>
        <w:rPr>
          <w:rFonts w:hint="eastAsia" w:ascii="宋体" w:hAnsi="宋体" w:eastAsia="宋体" w:cs="Times New Roman"/>
          <w:sz w:val="28"/>
          <w:szCs w:val="28"/>
          <w:lang w:val="en-US" w:eastAsia="zh-CN"/>
        </w:rPr>
        <w:t>草案内容</w:t>
      </w:r>
      <w:r>
        <w:rPr>
          <w:rFonts w:hint="eastAsia" w:ascii="宋体" w:hAnsi="宋体" w:eastAsia="宋体" w:cs="Times New Roman"/>
          <w:sz w:val="28"/>
          <w:szCs w:val="28"/>
        </w:rPr>
        <w:t>进行研讨，并根据各专家意见修改、形成征求意见稿。</w:t>
      </w:r>
    </w:p>
    <w:p w14:paraId="33A1EC4D">
      <w:pPr>
        <w:snapToGrid w:val="0"/>
        <w:spacing w:line="360" w:lineRule="auto"/>
        <w:ind w:firstLine="562" w:firstLineChars="200"/>
        <w:rPr>
          <w:rFonts w:hint="default" w:ascii="宋体" w:hAnsi="宋体"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2.广泛征求意见</w:t>
      </w:r>
    </w:p>
    <w:p w14:paraId="3F98EA7D">
      <w:pPr>
        <w:snapToGrid w:val="0"/>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起草组</w:t>
      </w:r>
      <w:r>
        <w:rPr>
          <w:rFonts w:hint="eastAsia" w:ascii="宋体" w:hAnsi="宋体" w:eastAsia="宋体" w:cs="Times New Roman"/>
          <w:sz w:val="28"/>
          <w:szCs w:val="28"/>
        </w:rPr>
        <w:t>共</w:t>
      </w:r>
      <w:r>
        <w:rPr>
          <w:rFonts w:hint="eastAsia" w:ascii="宋体" w:hAnsi="宋体" w:eastAsia="宋体" w:cs="Times New Roman"/>
          <w:sz w:val="28"/>
          <w:szCs w:val="28"/>
          <w:lang w:val="en-US" w:eastAsia="zh-CN"/>
        </w:rPr>
        <w:t>邀请</w:t>
      </w:r>
      <w:r>
        <w:rPr>
          <w:rFonts w:hint="eastAsia" w:ascii="宋体" w:hAnsi="宋体" w:eastAsia="宋体" w:cs="Times New Roman"/>
          <w:sz w:val="28"/>
          <w:szCs w:val="28"/>
        </w:rPr>
        <w:t>来自</w:t>
      </w:r>
      <w:r>
        <w:rPr>
          <w:rFonts w:hint="eastAsia" w:ascii="宋体" w:hAnsi="宋体" w:eastAsia="宋体" w:cs="Times New Roman"/>
          <w:sz w:val="28"/>
          <w:szCs w:val="28"/>
          <w:lang w:val="en-US" w:eastAsia="zh-CN"/>
        </w:rPr>
        <w:t>岭南</w:t>
      </w:r>
      <w:r>
        <w:rPr>
          <w:rFonts w:hint="eastAsia" w:ascii="宋体" w:hAnsi="宋体" w:eastAsia="宋体" w:cs="Times New Roman"/>
          <w:sz w:val="28"/>
          <w:szCs w:val="28"/>
        </w:rPr>
        <w:t>地区</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含港澳地区</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的37</w:t>
      </w:r>
      <w:r>
        <w:rPr>
          <w:rFonts w:hint="eastAsia" w:ascii="宋体" w:hAnsi="宋体" w:eastAsia="宋体" w:cs="Times New Roman"/>
          <w:sz w:val="28"/>
          <w:szCs w:val="28"/>
        </w:rPr>
        <w:t>个单位或机构的相关专家共</w:t>
      </w:r>
      <w:r>
        <w:rPr>
          <w:rFonts w:hint="eastAsia" w:ascii="宋体" w:hAnsi="宋体" w:eastAsia="宋体" w:cs="Times New Roman"/>
          <w:sz w:val="28"/>
          <w:szCs w:val="28"/>
          <w:lang w:val="en-US" w:eastAsia="zh-CN"/>
        </w:rPr>
        <w:t>41</w:t>
      </w:r>
      <w:r>
        <w:rPr>
          <w:rFonts w:hint="eastAsia" w:ascii="宋体" w:hAnsi="宋体" w:eastAsia="宋体" w:cs="Times New Roman"/>
          <w:sz w:val="28"/>
          <w:szCs w:val="28"/>
        </w:rPr>
        <w:t>人</w:t>
      </w:r>
      <w:r>
        <w:rPr>
          <w:rFonts w:hint="eastAsia" w:ascii="宋体" w:hAnsi="宋体" w:eastAsia="宋体" w:cs="Times New Roman"/>
          <w:sz w:val="28"/>
          <w:szCs w:val="28"/>
          <w:lang w:val="en-US" w:eastAsia="zh-CN"/>
        </w:rPr>
        <w:t>进行</w:t>
      </w:r>
      <w:r>
        <w:rPr>
          <w:rFonts w:hint="eastAsia" w:ascii="宋体" w:hAnsi="宋体" w:eastAsia="宋体" w:cs="Times New Roman"/>
          <w:sz w:val="28"/>
          <w:szCs w:val="28"/>
        </w:rPr>
        <w:t>标准意见征询</w:t>
      </w:r>
      <w:r>
        <w:rPr>
          <w:rFonts w:hint="eastAsia" w:ascii="宋体" w:hAnsi="宋体" w:eastAsia="宋体" w:cs="Times New Roman"/>
          <w:sz w:val="28"/>
          <w:szCs w:val="28"/>
          <w:lang w:eastAsia="zh-CN"/>
        </w:rPr>
        <w:t>。征求意见日期</w:t>
      </w:r>
      <w:r>
        <w:rPr>
          <w:rFonts w:hint="eastAsia" w:ascii="宋体" w:hAnsi="宋体" w:eastAsia="宋体" w:cs="Times New Roman"/>
          <w:sz w:val="28"/>
          <w:szCs w:val="28"/>
          <w:lang w:val="en-US" w:eastAsia="zh-CN"/>
        </w:rPr>
        <w:t>从2024年07月31日持续到2024年08月30日。共</w:t>
      </w:r>
      <w:r>
        <w:rPr>
          <w:rFonts w:hint="eastAsia" w:ascii="宋体" w:hAnsi="宋体" w:eastAsia="宋体" w:cs="Times New Roman"/>
          <w:sz w:val="28"/>
          <w:szCs w:val="28"/>
        </w:rPr>
        <w:t>收到</w:t>
      </w:r>
      <w:r>
        <w:rPr>
          <w:rFonts w:hint="eastAsia" w:ascii="宋体" w:hAnsi="宋体" w:eastAsia="宋体" w:cs="Times New Roman"/>
          <w:sz w:val="28"/>
          <w:szCs w:val="28"/>
          <w:lang w:val="en-US" w:eastAsia="zh-CN"/>
        </w:rPr>
        <w:t>34个单位的38位专家的</w:t>
      </w:r>
      <w:r>
        <w:rPr>
          <w:rFonts w:hint="eastAsia" w:ascii="宋体" w:hAnsi="宋体" w:eastAsia="宋体" w:cs="Times New Roman"/>
          <w:sz w:val="28"/>
          <w:szCs w:val="28"/>
        </w:rPr>
        <w:t>回函</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其中</w:t>
      </w:r>
      <w:r>
        <w:rPr>
          <w:rFonts w:hint="eastAsia" w:ascii="宋体" w:hAnsi="宋体" w:eastAsia="宋体" w:cs="Times New Roman"/>
          <w:sz w:val="28"/>
          <w:szCs w:val="28"/>
        </w:rPr>
        <w:t>有建议或意见的共10人</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来自</w:t>
      </w:r>
      <w:r>
        <w:rPr>
          <w:rFonts w:hint="eastAsia" w:ascii="宋体" w:hAnsi="宋体" w:eastAsia="宋体" w:cs="Times New Roman"/>
          <w:sz w:val="28"/>
          <w:szCs w:val="28"/>
        </w:rPr>
        <w:t>9个</w:t>
      </w:r>
      <w:r>
        <w:rPr>
          <w:rFonts w:hint="eastAsia" w:ascii="宋体" w:hAnsi="宋体" w:eastAsia="宋体" w:cs="Times New Roman"/>
          <w:sz w:val="28"/>
          <w:szCs w:val="28"/>
          <w:lang w:val="en-US" w:eastAsia="zh-CN"/>
        </w:rPr>
        <w:t>不同的</w:t>
      </w:r>
      <w:r>
        <w:rPr>
          <w:rFonts w:hint="eastAsia" w:ascii="宋体" w:hAnsi="宋体" w:eastAsia="宋体" w:cs="Times New Roman"/>
          <w:sz w:val="28"/>
          <w:szCs w:val="28"/>
        </w:rPr>
        <w:t>单位</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共提出了32条修改意见</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起草组均对专家反馈的意见一一回应作答，并根据该意见对标准进行修改，修改后的版本经起草组全体成员审阅、修改后形成送审稿。</w:t>
      </w:r>
    </w:p>
    <w:p w14:paraId="6556F0B3">
      <w:pPr>
        <w:pStyle w:val="2"/>
        <w:ind w:firstLine="562" w:firstLineChars="200"/>
        <w:rPr>
          <w:rFonts w:hint="eastAsia" w:ascii="宋体" w:hAnsi="宋体" w:eastAsia="宋体" w:cs="Times New Roman"/>
          <w:b/>
          <w:bCs/>
          <w:kern w:val="2"/>
          <w:sz w:val="28"/>
          <w:szCs w:val="28"/>
          <w:lang w:val="en-US" w:eastAsia="zh-CN" w:bidi="ar-SA"/>
        </w:rPr>
      </w:pPr>
      <w:r>
        <w:rPr>
          <w:rFonts w:hint="eastAsia" w:ascii="宋体" w:hAnsi="宋体" w:eastAsia="宋体" w:cs="Times New Roman"/>
          <w:sz w:val="28"/>
          <w:szCs w:val="28"/>
          <w:lang w:val="en-US" w:eastAsia="zh-CN"/>
        </w:rPr>
        <w:t>3.标准</w:t>
      </w:r>
      <w:r>
        <w:rPr>
          <w:rFonts w:hint="eastAsia" w:ascii="宋体" w:hAnsi="宋体" w:eastAsia="宋体" w:cs="Times New Roman"/>
          <w:b/>
          <w:bCs/>
          <w:kern w:val="2"/>
          <w:sz w:val="28"/>
          <w:szCs w:val="28"/>
          <w:lang w:val="en-US" w:eastAsia="zh-CN" w:bidi="ar-SA"/>
        </w:rPr>
        <w:t>审定</w:t>
      </w:r>
    </w:p>
    <w:p w14:paraId="4FCD7BC8">
      <w:pPr>
        <w:pStyle w:val="7"/>
        <w:snapToGrid w:val="0"/>
        <w:spacing w:line="360" w:lineRule="auto"/>
        <w:ind w:firstLine="564"/>
        <w:rPr>
          <w:rFonts w:hint="eastAsia"/>
          <w:sz w:val="28"/>
          <w:szCs w:val="28"/>
        </w:rPr>
      </w:pPr>
      <w:r>
        <w:rPr>
          <w:rFonts w:hint="eastAsia" w:hAnsi="宋体"/>
          <w:bCs/>
          <w:sz w:val="28"/>
          <w:szCs w:val="28"/>
        </w:rPr>
        <w:t>2024年11月27日以线上会议的形式对本标准进行技术审查。有</w:t>
      </w:r>
      <w:r>
        <w:rPr>
          <w:rFonts w:hint="eastAsia" w:hAnsi="宋体"/>
          <w:bCs/>
          <w:sz w:val="28"/>
          <w:szCs w:val="28"/>
          <w:lang w:val="en-US" w:eastAsia="zh-CN"/>
        </w:rPr>
        <w:t>7</w:t>
      </w:r>
      <w:r>
        <w:rPr>
          <w:rFonts w:hint="eastAsia" w:hAnsi="宋体"/>
          <w:bCs/>
          <w:sz w:val="28"/>
          <w:szCs w:val="28"/>
        </w:rPr>
        <w:t>名来自粤港澳地区的专家对标准内容进行质询审查，并提出相关修改意见。本标准起草组对专家反馈意见进行汇总整理形成《技术审查意见汇总处理表》，并对标准草案进行完善。</w:t>
      </w:r>
    </w:p>
    <w:p w14:paraId="279FF5F5">
      <w:pPr>
        <w:numPr>
          <w:ilvl w:val="0"/>
          <w:numId w:val="6"/>
        </w:numPr>
        <w:rPr>
          <w:rFonts w:hint="eastAsia"/>
          <w:b/>
          <w:sz w:val="28"/>
          <w:szCs w:val="28"/>
        </w:rPr>
      </w:pPr>
      <w:r>
        <w:rPr>
          <w:rFonts w:hint="eastAsia"/>
          <w:b/>
          <w:sz w:val="28"/>
          <w:szCs w:val="28"/>
        </w:rPr>
        <w:t>技术指标设置的科学性和可行性。</w:t>
      </w:r>
    </w:p>
    <w:p w14:paraId="5778F3B1">
      <w:pPr>
        <w:snapToGrid w:val="0"/>
        <w:spacing w:line="360" w:lineRule="auto"/>
        <w:ind w:firstLine="560" w:firstLineChars="200"/>
        <w:rPr>
          <w:rFonts w:hint="eastAsia" w:eastAsiaTheme="minorEastAsia"/>
          <w:sz w:val="28"/>
          <w:szCs w:val="28"/>
          <w:lang w:eastAsia="zh-CN"/>
        </w:rPr>
      </w:pPr>
      <w:r>
        <w:rPr>
          <w:rFonts w:hint="eastAsia"/>
          <w:sz w:val="28"/>
          <w:szCs w:val="28"/>
          <w:lang w:val="en-US" w:eastAsia="zh-CN"/>
        </w:rPr>
        <w:t>本标准在“评估及监测”部分采用的人体测量、理化检测、评分量表属</w:t>
      </w:r>
      <w:r>
        <w:rPr>
          <w:rFonts w:hint="eastAsia"/>
          <w:sz w:val="28"/>
          <w:szCs w:val="28"/>
        </w:rPr>
        <w:t>量化指标</w:t>
      </w:r>
      <w:r>
        <w:rPr>
          <w:rFonts w:hint="eastAsia"/>
          <w:sz w:val="28"/>
          <w:szCs w:val="28"/>
          <w:lang w:eastAsia="zh-CN"/>
        </w:rPr>
        <w:t>，</w:t>
      </w:r>
      <w:r>
        <w:rPr>
          <w:rFonts w:hint="eastAsia" w:ascii="宋体" w:hAnsi="宋体" w:eastAsia="宋体" w:cs="Times New Roman"/>
          <w:sz w:val="28"/>
          <w:szCs w:val="28"/>
          <w:lang w:val="en-US" w:eastAsia="zh-CN"/>
        </w:rPr>
        <w:t>主要参考自中国成人患者肠外肠内营养临床应用指南（2023版）、2025年慢性阻塞性肺疾病全球倡议（GOLD）等现行指南，皆为临床上较为常用、价廉易得的，兼具科学性和可行性。</w:t>
      </w:r>
    </w:p>
    <w:p w14:paraId="56A96803">
      <w:pPr>
        <w:numPr>
          <w:ilvl w:val="0"/>
          <w:numId w:val="6"/>
        </w:numPr>
        <w:ind w:left="0" w:leftChars="0" w:firstLine="0" w:firstLineChars="0"/>
        <w:rPr>
          <w:rFonts w:hint="eastAsia"/>
          <w:sz w:val="28"/>
          <w:szCs w:val="28"/>
        </w:rPr>
      </w:pPr>
      <w:r>
        <w:rPr>
          <w:rFonts w:hint="eastAsia"/>
          <w:b/>
          <w:sz w:val="28"/>
          <w:szCs w:val="28"/>
        </w:rPr>
        <w:t>与国际、国家、行业、其他省同类标准技术内容的对比情况，或者与测试的国外样品、样机的有关数据对比情况。采标情况，以及是否合规引用或采用国际国外标准。</w:t>
      </w:r>
    </w:p>
    <w:p w14:paraId="00C020D6">
      <w:pPr>
        <w:numPr>
          <w:ilvl w:val="0"/>
          <w:numId w:val="0"/>
        </w:numPr>
        <w:ind w:leftChars="0"/>
        <w:rPr>
          <w:rFonts w:hint="default" w:eastAsiaTheme="minorEastAsia"/>
          <w:sz w:val="28"/>
          <w:szCs w:val="28"/>
          <w:lang w:val="en-US" w:eastAsia="zh-CN"/>
        </w:rPr>
      </w:pPr>
      <w:r>
        <w:rPr>
          <w:rFonts w:hint="eastAsia"/>
          <w:sz w:val="28"/>
          <w:szCs w:val="28"/>
          <w:lang w:val="en-US" w:eastAsia="zh-CN"/>
        </w:rPr>
        <w:t xml:space="preserve">    </w:t>
      </w:r>
      <w:r>
        <w:rPr>
          <w:rFonts w:ascii="宋体" w:hAnsi="宋体" w:eastAsia="宋体" w:cs="Times New Roman"/>
          <w:sz w:val="28"/>
          <w:szCs w:val="28"/>
        </w:rPr>
        <w:t>本标准</w:t>
      </w:r>
      <w:r>
        <w:rPr>
          <w:rFonts w:hint="eastAsia" w:ascii="宋体" w:hAnsi="宋体" w:eastAsia="宋体" w:cs="Times New Roman"/>
          <w:sz w:val="28"/>
          <w:szCs w:val="28"/>
          <w:lang w:val="en-US" w:eastAsia="zh-CN"/>
        </w:rPr>
        <w:t>是对</w:t>
      </w:r>
      <w:r>
        <w:rPr>
          <w:rFonts w:ascii="宋体" w:hAnsi="宋体" w:eastAsia="宋体" w:cs="Times New Roman"/>
          <w:sz w:val="28"/>
          <w:szCs w:val="28"/>
        </w:rPr>
        <w:t>T/GDACM 0123-2024</w:t>
      </w:r>
      <w:r>
        <w:rPr>
          <w:rFonts w:hint="eastAsia" w:ascii="宋体" w:hAnsi="宋体" w:eastAsia="宋体" w:cs="Times New Roman"/>
          <w:sz w:val="28"/>
          <w:szCs w:val="28"/>
          <w:lang w:eastAsia="zh-CN"/>
        </w:rPr>
        <w:t>《</w:t>
      </w:r>
      <w:r>
        <w:rPr>
          <w:rFonts w:hint="eastAsia" w:ascii="宋体" w:hAnsi="宋体" w:eastAsia="宋体" w:cs="Times New Roman"/>
          <w:sz w:val="28"/>
          <w:szCs w:val="28"/>
        </w:rPr>
        <w:t>岭南地区</w:t>
      </w:r>
      <w:r>
        <w:rPr>
          <w:rFonts w:ascii="宋体" w:hAnsi="宋体" w:eastAsia="宋体" w:cs="Times New Roman"/>
          <w:sz w:val="28"/>
          <w:szCs w:val="28"/>
        </w:rPr>
        <w:t>慢性</w:t>
      </w:r>
      <w:r>
        <w:rPr>
          <w:rFonts w:hint="eastAsia" w:ascii="宋体" w:hAnsi="宋体" w:eastAsia="宋体" w:cs="Times New Roman"/>
          <w:sz w:val="28"/>
          <w:szCs w:val="28"/>
        </w:rPr>
        <w:t>呼吸衰竭中医健康膳食指南</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的初次修订。参考了</w:t>
      </w:r>
      <w:r>
        <w:rPr>
          <w:rFonts w:hint="eastAsia" w:ascii="宋体" w:hAnsi="宋体" w:eastAsia="宋体" w:cs="Times New Roman"/>
          <w:sz w:val="28"/>
          <w:szCs w:val="28"/>
          <w:lang w:eastAsia="zh-CN"/>
        </w:rPr>
        <w:t>T/GDACM 0104—2021《岭南地区慢性肾脏病中医健康膳食指南》</w:t>
      </w:r>
      <w:r>
        <w:rPr>
          <w:rFonts w:hint="eastAsia" w:ascii="宋体" w:hAnsi="宋体" w:eastAsia="宋体" w:cs="Times New Roman"/>
          <w:sz w:val="28"/>
          <w:szCs w:val="28"/>
          <w:lang w:val="en-US" w:eastAsia="zh-CN"/>
        </w:rPr>
        <w:t>的内容及体例。</w:t>
      </w:r>
    </w:p>
    <w:p w14:paraId="03DC53ED">
      <w:pPr>
        <w:numPr>
          <w:ilvl w:val="0"/>
          <w:numId w:val="6"/>
        </w:numPr>
        <w:ind w:left="0" w:leftChars="0" w:firstLine="0" w:firstLineChars="0"/>
        <w:rPr>
          <w:rFonts w:hint="eastAsia"/>
          <w:b/>
          <w:sz w:val="28"/>
          <w:szCs w:val="28"/>
        </w:rPr>
      </w:pPr>
      <w:r>
        <w:rPr>
          <w:rFonts w:hint="eastAsia"/>
          <w:b/>
          <w:sz w:val="28"/>
          <w:szCs w:val="28"/>
        </w:rPr>
        <w:t>涉及专利的有关说明。</w:t>
      </w:r>
    </w:p>
    <w:p w14:paraId="0F9F0C3F">
      <w:pPr>
        <w:numPr>
          <w:ilvl w:val="0"/>
          <w:numId w:val="0"/>
        </w:numPr>
        <w:ind w:leftChars="0"/>
        <w:rPr>
          <w:rFonts w:hint="default" w:eastAsiaTheme="minorEastAsia"/>
          <w:sz w:val="28"/>
          <w:szCs w:val="28"/>
          <w:lang w:val="en-US" w:eastAsia="zh-CN"/>
        </w:rPr>
      </w:pPr>
      <w:r>
        <w:rPr>
          <w:rFonts w:hint="eastAsia"/>
          <w:sz w:val="28"/>
          <w:szCs w:val="28"/>
          <w:lang w:val="en-US" w:eastAsia="zh-CN"/>
        </w:rPr>
        <w:t xml:space="preserve">    无。</w:t>
      </w:r>
    </w:p>
    <w:p w14:paraId="49764273">
      <w:pPr>
        <w:numPr>
          <w:ilvl w:val="0"/>
          <w:numId w:val="6"/>
        </w:numPr>
        <w:ind w:left="0" w:leftChars="0" w:firstLine="0" w:firstLineChars="0"/>
        <w:rPr>
          <w:rFonts w:hint="eastAsia"/>
          <w:b/>
          <w:sz w:val="28"/>
          <w:szCs w:val="28"/>
        </w:rPr>
      </w:pPr>
      <w:r>
        <w:rPr>
          <w:rFonts w:hint="eastAsia"/>
          <w:b/>
          <w:sz w:val="28"/>
          <w:szCs w:val="28"/>
        </w:rPr>
        <w:t>其他说明事项。</w:t>
      </w:r>
    </w:p>
    <w:p w14:paraId="6B1B4A18">
      <w:pPr>
        <w:numPr>
          <w:ilvl w:val="0"/>
          <w:numId w:val="0"/>
        </w:numPr>
        <w:ind w:leftChars="0"/>
        <w:rPr>
          <w:rFonts w:ascii="宋体" w:hAnsi="宋体" w:eastAsia="宋体" w:cs="Times New Roman"/>
          <w:sz w:val="28"/>
          <w:szCs w:val="28"/>
        </w:rPr>
      </w:pPr>
      <w:r>
        <w:rPr>
          <w:rFonts w:hint="eastAsia"/>
          <w:sz w:val="28"/>
          <w:szCs w:val="28"/>
          <w:lang w:val="en-US" w:eastAsia="zh-CN"/>
        </w:rPr>
        <w:t xml:space="preserve">    无。</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B21E2">
    <w:pPr>
      <w:pStyle w:val="33"/>
      <w:ind w:right="0"/>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pPr>
      <w:r>
        <w:separator/>
      </w:r>
    </w:p>
  </w:footnote>
  <w:footnote w:type="continuationSeparator" w:id="1">
    <w:p>
      <w:pPr>
        <w:spacing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BDCD4">
    <w:pPr>
      <w:pStyle w:val="11"/>
      <w:jc w:val="right"/>
      <w:rPr>
        <w:rFonts w:hint="eastAsia" w:ascii="黑体" w:hAnsi="黑体" w:eastAsia="黑体"/>
        <w:sz w:val="21"/>
        <w:szCs w:val="21"/>
        <w:lang w:eastAsia="zh-CN"/>
      </w:rPr>
    </w:pPr>
    <w:r>
      <w:rPr>
        <w:rFonts w:hint="eastAsia" w:ascii="黑体" w:hAnsi="黑体" w:eastAsia="黑体"/>
        <w:sz w:val="21"/>
        <w:szCs w:val="21"/>
      </w:rPr>
      <w:t xml:space="preserve">T/GDACM </w:t>
    </w:r>
    <w:r>
      <w:rPr>
        <w:rFonts w:ascii="黑体" w:hAnsi="黑体" w:eastAsia="黑体"/>
        <w:sz w:val="21"/>
        <w:szCs w:val="21"/>
      </w:rPr>
      <w:t>0123</w:t>
    </w:r>
    <w:r>
      <w:rPr>
        <w:rFonts w:hint="eastAsia" w:ascii="黑体" w:hAnsi="黑体" w:eastAsia="黑体"/>
        <w:sz w:val="21"/>
        <w:szCs w:val="21"/>
      </w:rPr>
      <w:t>-20</w:t>
    </w:r>
    <w:r>
      <w:rPr>
        <w:rFonts w:ascii="黑体" w:hAnsi="黑体" w:eastAsia="黑体"/>
        <w:sz w:val="21"/>
        <w:szCs w:val="21"/>
      </w:rPr>
      <w:t>2</w:t>
    </w:r>
    <w:r>
      <w:rPr>
        <w:rFonts w:hint="eastAsia" w:ascii="黑体" w:hAnsi="黑体" w:eastAsia="黑体"/>
        <w:sz w:val="21"/>
        <w:szCs w:val="21"/>
        <w:lang w:val="en-US" w:eastAsia="zh-CN"/>
      </w:rPr>
      <w:t>5</w:t>
    </w:r>
  </w:p>
  <w:p w14:paraId="3EADEABA">
    <w:pPr>
      <w:pStyle w:val="1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DC6BE0"/>
    <w:multiLevelType w:val="singleLevel"/>
    <w:tmpl w:val="90DC6BE0"/>
    <w:lvl w:ilvl="0" w:tentative="0">
      <w:start w:val="1"/>
      <w:numFmt w:val="decimal"/>
      <w:lvlText w:val="%1."/>
      <w:lvlJc w:val="left"/>
      <w:pPr>
        <w:tabs>
          <w:tab w:val="left" w:pos="312"/>
        </w:tabs>
      </w:pPr>
    </w:lvl>
  </w:abstractNum>
  <w:abstractNum w:abstractNumId="1">
    <w:nsid w:val="A82BAC4B"/>
    <w:multiLevelType w:val="singleLevel"/>
    <w:tmpl w:val="A82BAC4B"/>
    <w:lvl w:ilvl="0" w:tentative="0">
      <w:start w:val="6"/>
      <w:numFmt w:val="chineseCounting"/>
      <w:suff w:val="nothing"/>
      <w:lvlText w:val="%1、"/>
      <w:lvlJc w:val="left"/>
      <w:rPr>
        <w:rFonts w:hint="eastAsia"/>
        <w:b/>
        <w:bCs/>
      </w:rPr>
    </w:lvl>
  </w:abstractNum>
  <w:abstractNum w:abstractNumId="2">
    <w:nsid w:val="DF914E97"/>
    <w:multiLevelType w:val="singleLevel"/>
    <w:tmpl w:val="DF914E97"/>
    <w:lvl w:ilvl="0" w:tentative="0">
      <w:start w:val="2"/>
      <w:numFmt w:val="chineseCounting"/>
      <w:suff w:val="nothing"/>
      <w:lvlText w:val="（%1）"/>
      <w:lvlJc w:val="left"/>
      <w:rPr>
        <w:rFonts w:hint="eastAsia"/>
      </w:rPr>
    </w:lvl>
  </w:abstractNum>
  <w:abstractNum w:abstractNumId="3">
    <w:nsid w:val="3D43D8D2"/>
    <w:multiLevelType w:val="singleLevel"/>
    <w:tmpl w:val="3D43D8D2"/>
    <w:lvl w:ilvl="0" w:tentative="0">
      <w:start w:val="2"/>
      <w:numFmt w:val="chineseCounting"/>
      <w:suff w:val="nothing"/>
      <w:lvlText w:val="（%1）"/>
      <w:lvlJc w:val="left"/>
      <w:rPr>
        <w:rFonts w:hint="eastAsia"/>
      </w:rPr>
    </w:lvl>
  </w:abstractNum>
  <w:abstractNum w:abstractNumId="4">
    <w:nsid w:val="41F4D65E"/>
    <w:multiLevelType w:val="singleLevel"/>
    <w:tmpl w:val="41F4D65E"/>
    <w:lvl w:ilvl="0" w:tentative="0">
      <w:start w:val="1"/>
      <w:numFmt w:val="decimal"/>
      <w:suff w:val="nothing"/>
      <w:lvlText w:val="（%1）"/>
      <w:lvlJc w:val="left"/>
    </w:lvl>
  </w:abstractNum>
  <w:abstractNum w:abstractNumId="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6"/>
      <w:suff w:val="nothing"/>
      <w:lvlText w:val="%1%2　"/>
      <w:lvlJc w:val="left"/>
      <w:pPr>
        <w:ind w:left="425" w:firstLine="0"/>
      </w:pPr>
      <w:rPr>
        <w:rFonts w:hint="eastAsia" w:ascii="黑体" w:eastAsia="黑体"/>
        <w:b w:val="0"/>
        <w:i w:val="0"/>
        <w:sz w:val="21"/>
      </w:rPr>
    </w:lvl>
    <w:lvl w:ilvl="2" w:tentative="0">
      <w:start w:val="1"/>
      <w:numFmt w:val="decimal"/>
      <w:pStyle w:val="3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yYTg3ZDgwNWI0YTBmZDNiMGE2YTE5MzEzMmE1OTYifQ=="/>
  </w:docVars>
  <w:rsids>
    <w:rsidRoot w:val="091A7992"/>
    <w:rsid w:val="00050704"/>
    <w:rsid w:val="000522EE"/>
    <w:rsid w:val="0006731E"/>
    <w:rsid w:val="00091189"/>
    <w:rsid w:val="000975B8"/>
    <w:rsid w:val="000A140C"/>
    <w:rsid w:val="00122448"/>
    <w:rsid w:val="001320A2"/>
    <w:rsid w:val="001E6FCA"/>
    <w:rsid w:val="00206CFD"/>
    <w:rsid w:val="00216E96"/>
    <w:rsid w:val="00230F96"/>
    <w:rsid w:val="002A4B09"/>
    <w:rsid w:val="0037344B"/>
    <w:rsid w:val="003C79E1"/>
    <w:rsid w:val="00443CEF"/>
    <w:rsid w:val="004A2D3D"/>
    <w:rsid w:val="004E4E5D"/>
    <w:rsid w:val="004F3A02"/>
    <w:rsid w:val="00527229"/>
    <w:rsid w:val="0058248F"/>
    <w:rsid w:val="006148C2"/>
    <w:rsid w:val="006302CF"/>
    <w:rsid w:val="006753C3"/>
    <w:rsid w:val="00677E25"/>
    <w:rsid w:val="006C6BA1"/>
    <w:rsid w:val="006E259A"/>
    <w:rsid w:val="00722C92"/>
    <w:rsid w:val="0072494C"/>
    <w:rsid w:val="0072505D"/>
    <w:rsid w:val="0076742F"/>
    <w:rsid w:val="00782C9B"/>
    <w:rsid w:val="007928E0"/>
    <w:rsid w:val="0079317F"/>
    <w:rsid w:val="007C3ADF"/>
    <w:rsid w:val="00840724"/>
    <w:rsid w:val="008C025D"/>
    <w:rsid w:val="008F4F59"/>
    <w:rsid w:val="00986BDF"/>
    <w:rsid w:val="009A0077"/>
    <w:rsid w:val="009B36AA"/>
    <w:rsid w:val="009B70E0"/>
    <w:rsid w:val="009C34C5"/>
    <w:rsid w:val="00A0580D"/>
    <w:rsid w:val="00A34BAB"/>
    <w:rsid w:val="00A35C2F"/>
    <w:rsid w:val="00A4526C"/>
    <w:rsid w:val="00AC408C"/>
    <w:rsid w:val="00AD32B3"/>
    <w:rsid w:val="00AD60DA"/>
    <w:rsid w:val="00B00334"/>
    <w:rsid w:val="00B30031"/>
    <w:rsid w:val="00B60C92"/>
    <w:rsid w:val="00B66452"/>
    <w:rsid w:val="00BF1F6C"/>
    <w:rsid w:val="00C07206"/>
    <w:rsid w:val="00C4723D"/>
    <w:rsid w:val="00C76585"/>
    <w:rsid w:val="00CA53A6"/>
    <w:rsid w:val="00CC1B70"/>
    <w:rsid w:val="00CE6790"/>
    <w:rsid w:val="00DB0DE4"/>
    <w:rsid w:val="00DC2D51"/>
    <w:rsid w:val="00DD0756"/>
    <w:rsid w:val="00E15F60"/>
    <w:rsid w:val="00E21797"/>
    <w:rsid w:val="00E77C19"/>
    <w:rsid w:val="00E90E3C"/>
    <w:rsid w:val="00EB052C"/>
    <w:rsid w:val="00EE3040"/>
    <w:rsid w:val="00F41263"/>
    <w:rsid w:val="00F44304"/>
    <w:rsid w:val="00F70CF3"/>
    <w:rsid w:val="00FA00A3"/>
    <w:rsid w:val="04603828"/>
    <w:rsid w:val="04F86C82"/>
    <w:rsid w:val="05BF3318"/>
    <w:rsid w:val="074628FE"/>
    <w:rsid w:val="091A7992"/>
    <w:rsid w:val="092F79AD"/>
    <w:rsid w:val="0992341C"/>
    <w:rsid w:val="0B304DED"/>
    <w:rsid w:val="0BF202F5"/>
    <w:rsid w:val="0CEB170F"/>
    <w:rsid w:val="0FC820D5"/>
    <w:rsid w:val="108118B3"/>
    <w:rsid w:val="10922614"/>
    <w:rsid w:val="12ED5BD9"/>
    <w:rsid w:val="13042E95"/>
    <w:rsid w:val="14B70DAF"/>
    <w:rsid w:val="16B748C8"/>
    <w:rsid w:val="16F06765"/>
    <w:rsid w:val="19741A01"/>
    <w:rsid w:val="1B3C0149"/>
    <w:rsid w:val="1C3A6BE2"/>
    <w:rsid w:val="1C973A77"/>
    <w:rsid w:val="1E3962F9"/>
    <w:rsid w:val="200E42D9"/>
    <w:rsid w:val="20445990"/>
    <w:rsid w:val="20584A2B"/>
    <w:rsid w:val="223C5BCE"/>
    <w:rsid w:val="230063DC"/>
    <w:rsid w:val="243C647F"/>
    <w:rsid w:val="26293FDC"/>
    <w:rsid w:val="266A1015"/>
    <w:rsid w:val="26936D96"/>
    <w:rsid w:val="278512A4"/>
    <w:rsid w:val="29AC3336"/>
    <w:rsid w:val="2AF737A3"/>
    <w:rsid w:val="2B294A58"/>
    <w:rsid w:val="2BE041B6"/>
    <w:rsid w:val="2CA33F79"/>
    <w:rsid w:val="2DE775EB"/>
    <w:rsid w:val="342278E4"/>
    <w:rsid w:val="3442023A"/>
    <w:rsid w:val="347071FE"/>
    <w:rsid w:val="34984223"/>
    <w:rsid w:val="35C52301"/>
    <w:rsid w:val="365B6185"/>
    <w:rsid w:val="37763EDE"/>
    <w:rsid w:val="38693345"/>
    <w:rsid w:val="38B21790"/>
    <w:rsid w:val="393200B8"/>
    <w:rsid w:val="398D7AFC"/>
    <w:rsid w:val="3A0D6176"/>
    <w:rsid w:val="3AB328C5"/>
    <w:rsid w:val="3B180ECC"/>
    <w:rsid w:val="3BC51444"/>
    <w:rsid w:val="3C2F3D4F"/>
    <w:rsid w:val="3C793F97"/>
    <w:rsid w:val="3D2C70D2"/>
    <w:rsid w:val="3F4A2686"/>
    <w:rsid w:val="40A70AD5"/>
    <w:rsid w:val="42BA1182"/>
    <w:rsid w:val="43165E3E"/>
    <w:rsid w:val="43A23B47"/>
    <w:rsid w:val="444A10DF"/>
    <w:rsid w:val="44AC2A30"/>
    <w:rsid w:val="46DD404D"/>
    <w:rsid w:val="481F4E88"/>
    <w:rsid w:val="4CFA5070"/>
    <w:rsid w:val="4EBC4948"/>
    <w:rsid w:val="502C6E39"/>
    <w:rsid w:val="507408A5"/>
    <w:rsid w:val="516A187C"/>
    <w:rsid w:val="51AF7C1E"/>
    <w:rsid w:val="51F77B32"/>
    <w:rsid w:val="525234B9"/>
    <w:rsid w:val="52E837CD"/>
    <w:rsid w:val="54B020C8"/>
    <w:rsid w:val="54CD4A28"/>
    <w:rsid w:val="55C47404"/>
    <w:rsid w:val="56E61067"/>
    <w:rsid w:val="57154464"/>
    <w:rsid w:val="59395AC4"/>
    <w:rsid w:val="59FA4DFB"/>
    <w:rsid w:val="5A737E20"/>
    <w:rsid w:val="5A955FE8"/>
    <w:rsid w:val="5ADA34F9"/>
    <w:rsid w:val="5B6E4783"/>
    <w:rsid w:val="5C890A5F"/>
    <w:rsid w:val="5F597C86"/>
    <w:rsid w:val="601716BA"/>
    <w:rsid w:val="601D5083"/>
    <w:rsid w:val="60703C63"/>
    <w:rsid w:val="610F145C"/>
    <w:rsid w:val="611E1253"/>
    <w:rsid w:val="616704D0"/>
    <w:rsid w:val="635A71A8"/>
    <w:rsid w:val="637E655C"/>
    <w:rsid w:val="6593581A"/>
    <w:rsid w:val="65B23EF2"/>
    <w:rsid w:val="667856BA"/>
    <w:rsid w:val="681365CF"/>
    <w:rsid w:val="688A614B"/>
    <w:rsid w:val="68974831"/>
    <w:rsid w:val="69F44A22"/>
    <w:rsid w:val="6A4A3BAE"/>
    <w:rsid w:val="6AC26EB3"/>
    <w:rsid w:val="6AFB5F1C"/>
    <w:rsid w:val="6B2209B1"/>
    <w:rsid w:val="6B954247"/>
    <w:rsid w:val="6BC103EA"/>
    <w:rsid w:val="6DB8640F"/>
    <w:rsid w:val="6EB048C5"/>
    <w:rsid w:val="705636CC"/>
    <w:rsid w:val="70B36CAA"/>
    <w:rsid w:val="72EF066B"/>
    <w:rsid w:val="73650C05"/>
    <w:rsid w:val="752F69A7"/>
    <w:rsid w:val="75EF084A"/>
    <w:rsid w:val="765D64D2"/>
    <w:rsid w:val="774614DB"/>
    <w:rsid w:val="78DF3BEC"/>
    <w:rsid w:val="78F3566F"/>
    <w:rsid w:val="797F204D"/>
    <w:rsid w:val="7BBB6222"/>
    <w:rsid w:val="7C45256A"/>
    <w:rsid w:val="7F4F235A"/>
    <w:rsid w:val="7FA54D98"/>
    <w:rsid w:val="7FDB2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jc w:val="left"/>
      <w:outlineLvl w:val="0"/>
    </w:pPr>
    <w:rPr>
      <w:rFonts w:eastAsia="微软雅黑"/>
      <w:b/>
      <w:kern w:val="44"/>
      <w:sz w:val="32"/>
    </w:rPr>
  </w:style>
  <w:style w:type="paragraph" w:styleId="3">
    <w:name w:val="heading 2"/>
    <w:basedOn w:val="1"/>
    <w:next w:val="1"/>
    <w:link w:val="25"/>
    <w:semiHidden/>
    <w:unhideWhenUsed/>
    <w:qFormat/>
    <w:uiPriority w:val="0"/>
    <w:pPr>
      <w:jc w:val="left"/>
      <w:outlineLvl w:val="1"/>
    </w:pPr>
    <w:rPr>
      <w:rFonts w:hint="eastAsia" w:ascii="宋体" w:hAnsi="宋体" w:eastAsia="宋体" w:cs="Times New Roman"/>
      <w:b/>
      <w:bCs/>
      <w:kern w:val="0"/>
      <w:sz w:val="28"/>
      <w:szCs w:val="36"/>
    </w:rPr>
  </w:style>
  <w:style w:type="paragraph" w:styleId="4">
    <w:name w:val="heading 3"/>
    <w:basedOn w:val="1"/>
    <w:next w:val="1"/>
    <w:semiHidden/>
    <w:unhideWhenUsed/>
    <w:qFormat/>
    <w:uiPriority w:val="0"/>
    <w:pPr>
      <w:keepNext/>
      <w:keepLines/>
      <w:jc w:val="left"/>
      <w:outlineLvl w:val="2"/>
    </w:pPr>
    <w:rPr>
      <w:rFonts w:eastAsia="黑体"/>
      <w:b/>
    </w:rPr>
  </w:style>
  <w:style w:type="paragraph" w:styleId="5">
    <w:name w:val="heading 4"/>
    <w:basedOn w:val="1"/>
    <w:next w:val="1"/>
    <w:semiHidden/>
    <w:unhideWhenUsed/>
    <w:qFormat/>
    <w:uiPriority w:val="0"/>
    <w:pPr>
      <w:keepNext/>
      <w:keepLines/>
      <w:jc w:val="left"/>
      <w:outlineLvl w:val="3"/>
    </w:pPr>
    <w:rPr>
      <w:rFonts w:ascii="Arial" w:hAnsi="Arial" w:eastAsia="宋体"/>
      <w:b/>
    </w:rPr>
  </w:style>
  <w:style w:type="paragraph" w:styleId="6">
    <w:name w:val="heading 5"/>
    <w:basedOn w:val="1"/>
    <w:next w:val="1"/>
    <w:semiHidden/>
    <w:unhideWhenUsed/>
    <w:qFormat/>
    <w:uiPriority w:val="0"/>
    <w:pPr>
      <w:keepNext/>
      <w:keepLines/>
      <w:outlineLvl w:val="4"/>
    </w:pPr>
    <w:rPr>
      <w:rFonts w:eastAsia="宋体"/>
      <w:b/>
      <w:bCs/>
      <w:sz w:val="21"/>
      <w:szCs w:val="28"/>
    </w:rPr>
  </w:style>
  <w:style w:type="character" w:default="1" w:styleId="21">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sz w:val="20"/>
      <w:szCs w:val="20"/>
    </w:rPr>
    <w:tblPr>
      <w:tblCellMar>
        <w:top w:w="0" w:type="dxa"/>
        <w:left w:w="108" w:type="dxa"/>
        <w:bottom w:w="0" w:type="dxa"/>
        <w:right w:w="108" w:type="dxa"/>
      </w:tblCellMar>
    </w:tblPr>
  </w:style>
  <w:style w:type="paragraph" w:styleId="7">
    <w:name w:val="Body Text"/>
    <w:basedOn w:val="1"/>
    <w:qFormat/>
    <w:uiPriority w:val="0"/>
    <w:pPr>
      <w:spacing w:after="120" w:line="300" w:lineRule="auto"/>
    </w:pPr>
    <w:rPr>
      <w:rFonts w:ascii="Calibri" w:hAnsi="Calibri" w:eastAsia="宋体" w:cs="Times New Roman"/>
      <w:sz w:val="24"/>
      <w:szCs w:val="24"/>
    </w:rPr>
  </w:style>
  <w:style w:type="paragraph" w:styleId="8">
    <w:name w:val="Body Text Indent"/>
    <w:basedOn w:val="1"/>
    <w:qFormat/>
    <w:uiPriority w:val="0"/>
    <w:pPr>
      <w:spacing w:after="120"/>
      <w:ind w:left="420" w:leftChars="200"/>
    </w:pPr>
  </w:style>
  <w:style w:type="paragraph" w:styleId="9">
    <w:name w:val="toc 3"/>
    <w:basedOn w:val="1"/>
    <w:next w:val="1"/>
    <w:qFormat/>
    <w:uiPriority w:val="39"/>
    <w:pPr>
      <w:ind w:left="840" w:leftChars="400"/>
    </w:pPr>
  </w:style>
  <w:style w:type="paragraph" w:styleId="10">
    <w:name w:val="footer"/>
    <w:basedOn w:val="1"/>
    <w:link w:val="32"/>
    <w:qFormat/>
    <w:uiPriority w:val="0"/>
    <w:pPr>
      <w:tabs>
        <w:tab w:val="center" w:pos="4153"/>
        <w:tab w:val="right" w:pos="8306"/>
      </w:tabs>
      <w:snapToGrid w:val="0"/>
      <w:spacing w:line="240" w:lineRule="auto"/>
      <w:jc w:val="left"/>
    </w:pPr>
    <w:rPr>
      <w:sz w:val="18"/>
      <w:szCs w:val="18"/>
    </w:rPr>
  </w:style>
  <w:style w:type="paragraph" w:styleId="11">
    <w:name w:val="header"/>
    <w:basedOn w:val="1"/>
    <w:link w:val="3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2">
    <w:name w:val="toc 1"/>
    <w:basedOn w:val="1"/>
    <w:next w:val="1"/>
    <w:qFormat/>
    <w:uiPriority w:val="39"/>
  </w:style>
  <w:style w:type="paragraph" w:styleId="13">
    <w:name w:val="index heading"/>
    <w:basedOn w:val="1"/>
    <w:next w:val="14"/>
    <w:link w:val="24"/>
    <w:qFormat/>
    <w:uiPriority w:val="0"/>
    <w:pPr>
      <w:spacing w:line="240" w:lineRule="auto"/>
    </w:pPr>
    <w:rPr>
      <w:rFonts w:ascii="Arial" w:hAnsi="Arial" w:eastAsia="黑体"/>
      <w:b/>
      <w:sz w:val="28"/>
    </w:rPr>
  </w:style>
  <w:style w:type="paragraph" w:styleId="14">
    <w:name w:val="index 1"/>
    <w:basedOn w:val="1"/>
    <w:next w:val="1"/>
    <w:qFormat/>
    <w:uiPriority w:val="0"/>
  </w:style>
  <w:style w:type="paragraph" w:styleId="15">
    <w:name w:val="Subtitle"/>
    <w:next w:val="1"/>
    <w:qFormat/>
    <w:uiPriority w:val="0"/>
    <w:pPr>
      <w:spacing w:before="120" w:after="120"/>
      <w:jc w:val="center"/>
      <w:outlineLvl w:val="1"/>
    </w:pPr>
    <w:rPr>
      <w:rFonts w:ascii="Arial" w:hAnsi="Arial" w:eastAsia="宋体" w:cstheme="minorBidi"/>
      <w:kern w:val="28"/>
      <w:sz w:val="28"/>
      <w:lang w:val="en-US" w:eastAsia="zh-CN" w:bidi="ar-SA"/>
    </w:rPr>
  </w:style>
  <w:style w:type="paragraph" w:styleId="16">
    <w:name w:val="toc 2"/>
    <w:basedOn w:val="1"/>
    <w:next w:val="1"/>
    <w:qFormat/>
    <w:uiPriority w:val="39"/>
    <w:pPr>
      <w:ind w:left="420" w:leftChars="200"/>
    </w:pPr>
  </w:style>
  <w:style w:type="paragraph" w:styleId="1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8">
    <w:name w:val="Title"/>
    <w:next w:val="1"/>
    <w:qFormat/>
    <w:uiPriority w:val="0"/>
    <w:pPr>
      <w:spacing w:before="360" w:after="180"/>
      <w:jc w:val="center"/>
      <w:outlineLvl w:val="0"/>
    </w:pPr>
    <w:rPr>
      <w:rFonts w:ascii="Verdana" w:hAnsi="Verdana" w:eastAsia="微软雅黑" w:cstheme="minorBidi"/>
      <w:b/>
      <w:sz w:val="44"/>
      <w:lang w:val="en-US" w:eastAsia="zh-CN" w:bidi="ar-SA"/>
    </w:rPr>
  </w:style>
  <w:style w:type="paragraph" w:styleId="19">
    <w:name w:val="Body Text First Indent 2"/>
    <w:basedOn w:val="8"/>
    <w:qFormat/>
    <w:uiPriority w:val="0"/>
    <w:pPr>
      <w:ind w:left="0" w:leftChars="0" w:firstLine="420" w:firstLineChars="200"/>
    </w:pPr>
    <w:rPr>
      <w:rFonts w:ascii="Times New Roman" w:hAnsi="Times New Roman" w:eastAsia="宋体"/>
    </w:rPr>
  </w:style>
  <w:style w:type="character" w:styleId="22">
    <w:name w:val="FollowedHyperlink"/>
    <w:basedOn w:val="21"/>
    <w:qFormat/>
    <w:uiPriority w:val="0"/>
    <w:rPr>
      <w:color w:val="484848"/>
      <w:u w:val="none"/>
    </w:rPr>
  </w:style>
  <w:style w:type="character" w:styleId="23">
    <w:name w:val="Hyperlink"/>
    <w:qFormat/>
    <w:uiPriority w:val="99"/>
    <w:rPr>
      <w:rFonts w:ascii="宋体" w:hAnsi="Times New Roman" w:eastAsia="宋体"/>
      <w:color w:val="auto"/>
      <w:spacing w:val="0"/>
      <w:w w:val="100"/>
      <w:position w:val="0"/>
      <w:sz w:val="21"/>
      <w:u w:val="none"/>
      <w:vertAlign w:val="baseline"/>
    </w:rPr>
  </w:style>
  <w:style w:type="character" w:customStyle="1" w:styleId="24">
    <w:name w:val="索引标题 字符"/>
    <w:link w:val="13"/>
    <w:qFormat/>
    <w:uiPriority w:val="0"/>
    <w:rPr>
      <w:rFonts w:ascii="Arial" w:hAnsi="Arial" w:eastAsia="黑体"/>
      <w:b/>
      <w:sz w:val="28"/>
    </w:rPr>
  </w:style>
  <w:style w:type="character" w:customStyle="1" w:styleId="25">
    <w:name w:val="标题 2 字符"/>
    <w:basedOn w:val="21"/>
    <w:link w:val="3"/>
    <w:qFormat/>
    <w:uiPriority w:val="9"/>
    <w:rPr>
      <w:rFonts w:eastAsia="宋体" w:asciiTheme="majorHAnsi" w:hAnsiTheme="majorHAnsi" w:cstheme="majorBidi"/>
      <w:b/>
      <w:bCs/>
      <w:sz w:val="28"/>
      <w:szCs w:val="32"/>
    </w:rPr>
  </w:style>
  <w:style w:type="paragraph" w:customStyle="1" w:styleId="26">
    <w:name w:val="正文空2"/>
    <w:basedOn w:val="1"/>
    <w:link w:val="27"/>
    <w:qFormat/>
    <w:uiPriority w:val="99"/>
    <w:pPr>
      <w:ind w:firstLine="200" w:firstLineChars="200"/>
    </w:pPr>
    <w:rPr>
      <w:szCs w:val="22"/>
    </w:rPr>
  </w:style>
  <w:style w:type="character" w:customStyle="1" w:styleId="27">
    <w:name w:val="正文空2 Char"/>
    <w:basedOn w:val="21"/>
    <w:link w:val="26"/>
    <w:qFormat/>
    <w:locked/>
    <w:uiPriority w:val="99"/>
    <w:rPr>
      <w:rFonts w:asciiTheme="minorHAnsi" w:hAnsiTheme="minorHAnsi" w:eastAsiaTheme="minorEastAsia"/>
      <w:sz w:val="24"/>
      <w:szCs w:val="22"/>
    </w:rPr>
  </w:style>
  <w:style w:type="character" w:customStyle="1" w:styleId="28">
    <w:name w:val="fontstyle01"/>
    <w:basedOn w:val="21"/>
    <w:qFormat/>
    <w:uiPriority w:val="0"/>
    <w:rPr>
      <w:rFonts w:hint="eastAsia" w:ascii="黑体" w:hAnsi="黑体" w:eastAsia="黑体"/>
      <w:color w:val="000000"/>
      <w:sz w:val="32"/>
      <w:szCs w:val="32"/>
    </w:rPr>
  </w:style>
  <w:style w:type="paragraph" w:customStyle="1" w:styleId="29">
    <w:name w:val="标准文件_段"/>
    <w:link w:val="3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0">
    <w:name w:val="标准文件_段 Char"/>
    <w:link w:val="29"/>
    <w:qFormat/>
    <w:uiPriority w:val="0"/>
    <w:rPr>
      <w:rFonts w:ascii="宋体" w:hAnsi="Times New Roman" w:eastAsia="宋体" w:cs="Times New Roman"/>
      <w:sz w:val="21"/>
    </w:rPr>
  </w:style>
  <w:style w:type="character" w:customStyle="1" w:styleId="31">
    <w:name w:val="页眉 字符"/>
    <w:basedOn w:val="21"/>
    <w:link w:val="11"/>
    <w:qFormat/>
    <w:uiPriority w:val="0"/>
    <w:rPr>
      <w:kern w:val="2"/>
      <w:sz w:val="18"/>
      <w:szCs w:val="18"/>
    </w:rPr>
  </w:style>
  <w:style w:type="character" w:customStyle="1" w:styleId="32">
    <w:name w:val="页脚 字符"/>
    <w:basedOn w:val="21"/>
    <w:link w:val="10"/>
    <w:qFormat/>
    <w:uiPriority w:val="0"/>
    <w:rPr>
      <w:kern w:val="2"/>
      <w:sz w:val="18"/>
      <w:szCs w:val="18"/>
    </w:rPr>
  </w:style>
  <w:style w:type="paragraph" w:customStyle="1" w:styleId="3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34">
    <w:name w:val="_Style 2"/>
    <w:basedOn w:val="2"/>
    <w:next w:val="1"/>
    <w:semiHidden/>
    <w:unhideWhenUsed/>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35">
    <w:name w:val="标准文件_一级条标题"/>
    <w:basedOn w:val="36"/>
    <w:next w:val="29"/>
    <w:qFormat/>
    <w:uiPriority w:val="0"/>
    <w:pPr>
      <w:numPr>
        <w:ilvl w:val="2"/>
      </w:numPr>
      <w:spacing w:beforeLines="50" w:afterLines="50"/>
      <w:outlineLvl w:val="1"/>
    </w:pPr>
  </w:style>
  <w:style w:type="paragraph" w:customStyle="1" w:styleId="36">
    <w:name w:val="标准文件_章标题"/>
    <w:next w:val="29"/>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1354</Words>
  <Characters>1390</Characters>
  <Lines>23</Lines>
  <Paragraphs>6</Paragraphs>
  <TotalTime>0</TotalTime>
  <ScaleCrop>false</ScaleCrop>
  <LinksUpToDate>false</LinksUpToDate>
  <CharactersWithSpaces>1453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2024-07-30T16:46:00Z</dcterms:created>
  <dc:creator>广东省中医药学会;陈文嘉</dc:creator>
  <cp:lastModifiedBy>Hannah</cp:lastModifiedBy>
  <dcterms:modified xsi:type="dcterms:W3CDTF">2025-06-13T07:26:59Z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32AF7F31CC024B1DA554397E5141C42A_13</vt:lpwstr>
  </property>
  <property fmtid="{D5CDD505-2E9C-101B-9397-08002B2CF9AE}" pid="4" name="KSOTemplateDocerSaveRecord">
    <vt:lpwstr>eyJoZGlkIjoiNzcyYTg3ZDgwNWI0YTBmZDNiMGE2YTE5MzEzMmE1OTYiLCJ1c2VySWQiOiI0MjgzNzAxMjIifQ==</vt:lpwstr>
  </property>
</Properties>
</file>